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640C26">
      <w:pPr>
        <w:widowControl/>
        <w:adjustRightInd w:val="0"/>
        <w:snapToGrid w:val="0"/>
        <w:spacing w:before="156" w:beforeLines="50" w:line="360" w:lineRule="auto"/>
        <w:jc w:val="both"/>
        <w:rPr>
          <w:rFonts w:hint="eastAsia" w:ascii="宋体" w:hAnsi="宋体" w:eastAsia="宋体" w:cs="宋体"/>
          <w:kern w:val="0"/>
          <w:sz w:val="40"/>
          <w:szCs w:val="40"/>
          <w:lang w:val="en-US" w:eastAsia="zh-CN"/>
        </w:rPr>
      </w:pPr>
      <w:bookmarkStart w:id="0" w:name="OLE_LINK2"/>
      <w:bookmarkStart w:id="1" w:name="OLE_LINK1"/>
      <w:r>
        <w:rPr>
          <w:rFonts w:hint="eastAsia" w:ascii="宋体" w:hAnsi="宋体" w:eastAsia="宋体" w:cs="宋体"/>
          <w:kern w:val="0"/>
          <w:sz w:val="40"/>
          <w:szCs w:val="40"/>
          <w:lang w:val="en-US" w:eastAsia="zh-CN"/>
        </w:rPr>
        <w:t>附件3</w:t>
      </w:r>
    </w:p>
    <w:p w14:paraId="5FA0355F">
      <w:pPr>
        <w:widowControl/>
        <w:adjustRightInd w:val="0"/>
        <w:snapToGrid w:val="0"/>
        <w:spacing w:before="156" w:beforeLines="50" w:line="360" w:lineRule="auto"/>
        <w:jc w:val="both"/>
        <w:rPr>
          <w:rFonts w:hint="eastAsia" w:ascii="宋体" w:hAnsi="宋体" w:eastAsia="宋体" w:cs="宋体"/>
          <w:kern w:val="0"/>
          <w:sz w:val="40"/>
          <w:szCs w:val="40"/>
          <w:lang w:val="en-US" w:eastAsia="zh-CN"/>
        </w:rPr>
      </w:pPr>
      <w:bookmarkStart w:id="21" w:name="_GoBack"/>
      <w:bookmarkEnd w:id="21"/>
    </w:p>
    <w:p w14:paraId="4B58F1A2">
      <w:pPr>
        <w:widowControl/>
        <w:adjustRightInd w:val="0"/>
        <w:snapToGrid w:val="0"/>
        <w:spacing w:before="156" w:beforeLines="50" w:line="360" w:lineRule="auto"/>
        <w:jc w:val="center"/>
        <w:rPr>
          <w:rFonts w:ascii="黑体" w:hAnsi="黑体" w:eastAsia="黑体" w:cs="宋体"/>
          <w:kern w:val="0"/>
          <w:sz w:val="36"/>
          <w:szCs w:val="36"/>
        </w:rPr>
      </w:pPr>
      <w:r>
        <w:rPr>
          <w:rFonts w:hint="eastAsia" w:ascii="黑体" w:hAnsi="黑体" w:eastAsia="黑体" w:cs="宋体"/>
          <w:kern w:val="0"/>
          <w:sz w:val="36"/>
          <w:szCs w:val="36"/>
        </w:rPr>
        <w:t>全过程工程咨询服务发展</w:t>
      </w:r>
      <w:bookmarkEnd w:id="0"/>
      <w:bookmarkEnd w:id="1"/>
      <w:r>
        <w:rPr>
          <w:rFonts w:hint="eastAsia" w:ascii="黑体" w:hAnsi="黑体" w:eastAsia="黑体" w:cs="宋体"/>
          <w:kern w:val="0"/>
          <w:sz w:val="36"/>
          <w:szCs w:val="36"/>
        </w:rPr>
        <w:t>情况调研报告大纲</w:t>
      </w:r>
    </w:p>
    <w:p w14:paraId="75B82A7F">
      <w:pPr>
        <w:widowControl/>
        <w:adjustRightInd w:val="0"/>
        <w:snapToGrid w:val="0"/>
        <w:spacing w:before="156" w:beforeLines="50" w:line="360" w:lineRule="auto"/>
        <w:jc w:val="center"/>
        <w:rPr>
          <w:rFonts w:ascii="黑体" w:hAnsi="黑体" w:eastAsia="黑体" w:cs="宋体"/>
          <w:kern w:val="0"/>
          <w:sz w:val="36"/>
          <w:szCs w:val="36"/>
        </w:rPr>
      </w:pPr>
      <w:r>
        <w:rPr>
          <w:rFonts w:hint="eastAsia" w:ascii="黑体" w:hAnsi="黑体" w:eastAsia="黑体" w:cs="宋体"/>
          <w:kern w:val="0"/>
          <w:sz w:val="36"/>
          <w:szCs w:val="36"/>
        </w:rPr>
        <w:t>（地方协会）</w:t>
      </w:r>
    </w:p>
    <w:p w14:paraId="7825865B">
      <w:pPr>
        <w:widowControl/>
        <w:adjustRightInd w:val="0"/>
        <w:snapToGrid w:val="0"/>
        <w:spacing w:before="156" w:beforeLines="50" w:line="360" w:lineRule="auto"/>
        <w:jc w:val="center"/>
        <w:outlineLvl w:val="1"/>
        <w:rPr>
          <w:rFonts w:ascii="黑体" w:hAnsi="黑体" w:eastAsia="黑体" w:cs="宋体"/>
          <w:bCs/>
          <w:kern w:val="0"/>
          <w:sz w:val="32"/>
          <w:szCs w:val="32"/>
        </w:rPr>
      </w:pPr>
      <w:r>
        <w:rPr>
          <w:rFonts w:hint="eastAsia" w:ascii="黑体" w:hAnsi="黑体" w:eastAsia="黑体" w:cs="宋体"/>
          <w:bCs/>
          <w:kern w:val="0"/>
          <w:sz w:val="32"/>
          <w:szCs w:val="32"/>
        </w:rPr>
        <w:t>前 言</w:t>
      </w:r>
    </w:p>
    <w:p w14:paraId="0B04CE33">
      <w:pPr>
        <w:widowControl/>
        <w:adjustRightInd w:val="0"/>
        <w:snapToGrid w:val="0"/>
        <w:spacing w:line="360" w:lineRule="auto"/>
        <w:ind w:firstLine="560" w:firstLineChars="200"/>
        <w:jc w:val="left"/>
        <w:rPr>
          <w:rFonts w:ascii="仿宋_GB2312" w:hAnsi="宋体" w:eastAsia="仿宋_GB2312" w:cs="宋体"/>
          <w:kern w:val="0"/>
          <w:sz w:val="28"/>
          <w:szCs w:val="28"/>
          <w:shd w:val="clear" w:color="auto" w:fill="FFFFFF" w:themeFill="background1"/>
        </w:rPr>
      </w:pPr>
      <w:bookmarkStart w:id="2" w:name="OLE_LINK4"/>
      <w:bookmarkStart w:id="3" w:name="OLE_LINK3"/>
      <w:r>
        <w:rPr>
          <w:rFonts w:hint="eastAsia" w:ascii="仿宋_GB2312" w:hAnsi="宋体" w:eastAsia="仿宋_GB2312" w:cs="宋体"/>
          <w:kern w:val="0"/>
          <w:sz w:val="28"/>
          <w:szCs w:val="28"/>
          <w:shd w:val="clear" w:color="auto" w:fill="FFFFFF" w:themeFill="background1"/>
        </w:rPr>
        <w:t>为切实了解本地区全过程工程咨询服务发展现状，由中国工程咨询协会牵头,XXX省/自治区/直辖市/计划单列市/新疆生产建设兵团工程咨询协会组织开展本区域全过程工程咨询服务发展情况专项调研。调研聚焦区域内全过程工程咨询服务市场发展实况、主流服务模式、服务落地成效，系统梳理发展中的共性问题与细分领域个性化问题，客观研判发展现状、实施成效与短板不足，结合本区域全过程工程咨询服务项目实践案例研判发展趋势，分层级、分主体提出可落地、可执行的优化举措与政策建议，形成专项调研报告，为行业主管部门统筹推进全过程工程咨询服务规范化、高质量发展提供决策参考。</w:t>
      </w:r>
    </w:p>
    <w:p w14:paraId="0C800285">
      <w:pPr>
        <w:widowControl/>
        <w:adjustRightInd w:val="0"/>
        <w:snapToGrid w:val="0"/>
        <w:spacing w:line="360" w:lineRule="auto"/>
        <w:ind w:firstLine="420" w:firstLineChars="200"/>
        <w:jc w:val="left"/>
        <w:rPr>
          <w:rFonts w:ascii="黑体" w:hAnsi="黑体" w:eastAsia="黑体" w:cs="宋体"/>
          <w:kern w:val="0"/>
          <w:szCs w:val="21"/>
          <w:shd w:val="clear" w:color="auto" w:fill="FFFFFF" w:themeFill="background1"/>
        </w:rPr>
      </w:pPr>
      <w:bookmarkStart w:id="4" w:name="OLE_LINK29"/>
      <w:bookmarkStart w:id="5" w:name="OLE_LINK30"/>
      <w:r>
        <w:rPr>
          <w:rFonts w:hint="eastAsia" w:ascii="黑体" w:hAnsi="黑体" w:eastAsia="黑体" w:cs="宋体"/>
          <w:kern w:val="0"/>
          <w:szCs w:val="21"/>
          <w:shd w:val="clear" w:color="auto" w:fill="FFFFFF" w:themeFill="background1"/>
        </w:rPr>
        <w:t>说明：本报告由本省</w:t>
      </w:r>
      <w:r>
        <w:rPr>
          <w:rFonts w:ascii="黑体" w:hAnsi="黑体" w:eastAsia="黑体" w:cs="宋体"/>
          <w:kern w:val="0"/>
          <w:szCs w:val="21"/>
          <w:shd w:val="clear" w:color="auto" w:fill="FFFFFF" w:themeFill="background1"/>
        </w:rPr>
        <w:t>/自治区/直辖市/计划单列市/新疆生产建设兵团</w:t>
      </w:r>
      <w:r>
        <w:rPr>
          <w:rFonts w:hint="eastAsia" w:ascii="黑体" w:hAnsi="黑体" w:eastAsia="黑体" w:cs="宋体"/>
          <w:kern w:val="0"/>
          <w:szCs w:val="21"/>
          <w:shd w:val="clear" w:color="auto" w:fill="FFFFFF" w:themeFill="background1"/>
        </w:rPr>
        <w:t>工程咨询协会统筹所属会员单位调研问卷、典型案例后编写，数据周期统一为</w:t>
      </w:r>
      <w:r>
        <w:rPr>
          <w:rFonts w:ascii="黑体" w:hAnsi="黑体" w:eastAsia="黑体" w:cs="宋体"/>
          <w:kern w:val="0"/>
          <w:szCs w:val="21"/>
          <w:shd w:val="clear" w:color="auto" w:fill="FFFFFF" w:themeFill="background1"/>
        </w:rPr>
        <w:t>2021</w:t>
      </w:r>
      <w:r>
        <w:rPr>
          <w:rFonts w:hint="eastAsia" w:ascii="黑体" w:hAnsi="黑体" w:eastAsia="黑体" w:cs="宋体"/>
          <w:kern w:val="0"/>
          <w:szCs w:val="21"/>
          <w:shd w:val="clear" w:color="auto" w:fill="FFFFFF" w:themeFill="background1"/>
        </w:rPr>
        <w:t>年至</w:t>
      </w:r>
      <w:r>
        <w:rPr>
          <w:rFonts w:ascii="黑体" w:hAnsi="黑体" w:eastAsia="黑体" w:cs="宋体"/>
          <w:kern w:val="0"/>
          <w:szCs w:val="21"/>
          <w:shd w:val="clear" w:color="auto" w:fill="FFFFFF" w:themeFill="background1"/>
        </w:rPr>
        <w:t>2025年。</w:t>
      </w:r>
    </w:p>
    <w:p w14:paraId="5E2104D4">
      <w:pPr>
        <w:widowControl/>
        <w:adjustRightInd w:val="0"/>
        <w:snapToGrid w:val="0"/>
        <w:spacing w:line="360" w:lineRule="auto"/>
        <w:ind w:firstLine="420" w:firstLineChars="200"/>
        <w:jc w:val="left"/>
        <w:rPr>
          <w:rFonts w:ascii="方正仿宋_GB2312" w:hAnsi="宋体" w:eastAsia="方正仿宋_GB2312" w:cs="宋体"/>
          <w:kern w:val="0"/>
          <w:szCs w:val="21"/>
          <w:shd w:val="clear" w:color="auto" w:fill="FFFFFF" w:themeFill="background1"/>
        </w:rPr>
      </w:pPr>
    </w:p>
    <w:p w14:paraId="1FFE4B43">
      <w:pPr>
        <w:widowControl/>
        <w:adjustRightInd w:val="0"/>
        <w:snapToGrid w:val="0"/>
        <w:spacing w:line="360" w:lineRule="auto"/>
        <w:ind w:firstLine="420" w:firstLineChars="200"/>
        <w:jc w:val="left"/>
        <w:rPr>
          <w:rFonts w:ascii="方正仿宋_GB2312" w:hAnsi="宋体" w:eastAsia="方正仿宋_GB2312" w:cs="宋体"/>
          <w:kern w:val="0"/>
          <w:szCs w:val="21"/>
          <w:shd w:val="clear" w:color="auto" w:fill="FFFFFF" w:themeFill="background1"/>
        </w:rPr>
      </w:pPr>
    </w:p>
    <w:p w14:paraId="40F8008C">
      <w:pPr>
        <w:widowControl/>
        <w:adjustRightInd w:val="0"/>
        <w:snapToGrid w:val="0"/>
        <w:spacing w:line="360" w:lineRule="auto"/>
        <w:ind w:firstLine="420" w:firstLineChars="200"/>
        <w:jc w:val="left"/>
        <w:rPr>
          <w:rFonts w:ascii="方正仿宋_GB2312" w:hAnsi="宋体" w:eastAsia="方正仿宋_GB2312" w:cs="宋体"/>
          <w:kern w:val="0"/>
          <w:szCs w:val="21"/>
          <w:shd w:val="clear" w:color="auto" w:fill="FFFFFF" w:themeFill="background1"/>
        </w:rPr>
      </w:pPr>
    </w:p>
    <w:p w14:paraId="0625E638">
      <w:pPr>
        <w:widowControl/>
        <w:adjustRightInd w:val="0"/>
        <w:snapToGrid w:val="0"/>
        <w:spacing w:line="360" w:lineRule="auto"/>
        <w:ind w:firstLine="420" w:firstLineChars="200"/>
        <w:jc w:val="left"/>
        <w:rPr>
          <w:rFonts w:ascii="方正仿宋_GB2312" w:hAnsi="宋体" w:eastAsia="方正仿宋_GB2312" w:cs="宋体"/>
          <w:kern w:val="0"/>
          <w:szCs w:val="21"/>
          <w:shd w:val="clear" w:color="auto" w:fill="FFFFFF" w:themeFill="background1"/>
        </w:rPr>
      </w:pPr>
    </w:p>
    <w:p w14:paraId="08B6BEE9">
      <w:pPr>
        <w:widowControl/>
        <w:adjustRightInd w:val="0"/>
        <w:snapToGrid w:val="0"/>
        <w:spacing w:line="360" w:lineRule="auto"/>
        <w:ind w:firstLine="420" w:firstLineChars="200"/>
        <w:jc w:val="left"/>
        <w:rPr>
          <w:rFonts w:ascii="方正仿宋_GB2312" w:hAnsi="宋体" w:eastAsia="方正仿宋_GB2312" w:cs="宋体"/>
          <w:kern w:val="0"/>
          <w:szCs w:val="21"/>
          <w:shd w:val="clear" w:color="auto" w:fill="FFFFFF" w:themeFill="background1"/>
        </w:rPr>
      </w:pPr>
    </w:p>
    <w:p w14:paraId="380BA36F">
      <w:pPr>
        <w:widowControl/>
        <w:adjustRightInd w:val="0"/>
        <w:snapToGrid w:val="0"/>
        <w:spacing w:line="360" w:lineRule="auto"/>
        <w:ind w:firstLine="420" w:firstLineChars="200"/>
        <w:jc w:val="left"/>
        <w:rPr>
          <w:rFonts w:ascii="方正仿宋_GB2312" w:hAnsi="宋体" w:eastAsia="方正仿宋_GB2312" w:cs="宋体"/>
          <w:kern w:val="0"/>
          <w:szCs w:val="21"/>
          <w:shd w:val="clear" w:color="auto" w:fill="FFFFFF" w:themeFill="background1"/>
        </w:rPr>
      </w:pPr>
    </w:p>
    <w:p w14:paraId="7AF7D20F">
      <w:pPr>
        <w:widowControl/>
        <w:adjustRightInd w:val="0"/>
        <w:snapToGrid w:val="0"/>
        <w:spacing w:line="360" w:lineRule="auto"/>
        <w:ind w:firstLine="420" w:firstLineChars="200"/>
        <w:jc w:val="left"/>
        <w:rPr>
          <w:rFonts w:ascii="方正仿宋_GB2312" w:hAnsi="宋体" w:eastAsia="方正仿宋_GB2312" w:cs="宋体"/>
          <w:kern w:val="0"/>
          <w:szCs w:val="21"/>
          <w:shd w:val="clear" w:color="auto" w:fill="FFFFFF" w:themeFill="background1"/>
        </w:rPr>
      </w:pPr>
    </w:p>
    <w:p w14:paraId="3F2E1BF9">
      <w:pPr>
        <w:widowControl/>
        <w:adjustRightInd w:val="0"/>
        <w:snapToGrid w:val="0"/>
        <w:spacing w:line="360" w:lineRule="auto"/>
        <w:ind w:firstLine="420" w:firstLineChars="200"/>
        <w:jc w:val="left"/>
        <w:rPr>
          <w:rFonts w:ascii="方正仿宋_GB2312" w:hAnsi="宋体" w:eastAsia="方正仿宋_GB2312" w:cs="宋体"/>
          <w:kern w:val="0"/>
          <w:szCs w:val="21"/>
          <w:shd w:val="clear" w:color="auto" w:fill="FFFFFF" w:themeFill="background1"/>
        </w:rPr>
      </w:pPr>
    </w:p>
    <w:p w14:paraId="26E359F5">
      <w:pPr>
        <w:widowControl/>
        <w:adjustRightInd w:val="0"/>
        <w:snapToGrid w:val="0"/>
        <w:spacing w:line="360" w:lineRule="auto"/>
        <w:ind w:firstLine="420" w:firstLineChars="200"/>
        <w:jc w:val="left"/>
        <w:rPr>
          <w:rFonts w:ascii="方正仿宋_GB2312" w:hAnsi="宋体" w:eastAsia="方正仿宋_GB2312" w:cs="宋体"/>
          <w:kern w:val="0"/>
          <w:szCs w:val="21"/>
          <w:shd w:val="clear" w:color="auto" w:fill="FFFFFF" w:themeFill="background1"/>
        </w:rPr>
      </w:pPr>
    </w:p>
    <w:p w14:paraId="2A27BC35">
      <w:pPr>
        <w:widowControl/>
        <w:adjustRightInd w:val="0"/>
        <w:snapToGrid w:val="0"/>
        <w:spacing w:line="360" w:lineRule="auto"/>
        <w:ind w:firstLine="420" w:firstLineChars="200"/>
        <w:jc w:val="left"/>
        <w:rPr>
          <w:rFonts w:ascii="方正仿宋_GB2312" w:hAnsi="宋体" w:eastAsia="方正仿宋_GB2312" w:cs="宋体"/>
          <w:kern w:val="0"/>
          <w:szCs w:val="21"/>
          <w:shd w:val="clear" w:color="auto" w:fill="FFFFFF" w:themeFill="background1"/>
        </w:rPr>
      </w:pPr>
    </w:p>
    <w:p w14:paraId="4254D5A7">
      <w:pPr>
        <w:widowControl/>
        <w:adjustRightInd w:val="0"/>
        <w:snapToGrid w:val="0"/>
        <w:spacing w:line="360" w:lineRule="auto"/>
        <w:ind w:firstLine="420" w:firstLineChars="200"/>
        <w:jc w:val="left"/>
        <w:rPr>
          <w:rFonts w:ascii="方正仿宋_GB2312" w:hAnsi="宋体" w:eastAsia="方正仿宋_GB2312" w:cs="宋体"/>
          <w:kern w:val="0"/>
          <w:szCs w:val="21"/>
          <w:shd w:val="clear" w:color="auto" w:fill="FFFFFF" w:themeFill="background1"/>
        </w:rPr>
      </w:pPr>
    </w:p>
    <w:bookmarkEnd w:id="2"/>
    <w:bookmarkEnd w:id="3"/>
    <w:bookmarkEnd w:id="4"/>
    <w:bookmarkEnd w:id="5"/>
    <w:p w14:paraId="0A7EE447">
      <w:pPr>
        <w:pStyle w:val="2"/>
        <w:spacing w:before="0" w:after="0" w:line="360" w:lineRule="auto"/>
        <w:jc w:val="center"/>
        <w:rPr>
          <w:rFonts w:ascii="黑体" w:hAnsi="黑体" w:eastAsia="黑体" w:cs="宋体"/>
          <w:b w:val="0"/>
          <w:bCs w:val="0"/>
          <w:kern w:val="0"/>
          <w:sz w:val="28"/>
          <w:szCs w:val="28"/>
        </w:rPr>
      </w:pPr>
      <w:bookmarkStart w:id="6" w:name="OLE_LINK5"/>
      <w:r>
        <w:rPr>
          <w:rFonts w:hint="eastAsia" w:ascii="黑体" w:hAnsi="黑体" w:eastAsia="黑体" w:cs="宋体"/>
          <w:b w:val="0"/>
          <w:bCs w:val="0"/>
          <w:kern w:val="0"/>
          <w:sz w:val="28"/>
          <w:szCs w:val="28"/>
        </w:rPr>
        <w:t xml:space="preserve">第一章 </w:t>
      </w:r>
      <w:r>
        <w:rPr>
          <w:rFonts w:ascii="黑体" w:hAnsi="黑体" w:eastAsia="黑体" w:cs="宋体"/>
          <w:b w:val="0"/>
          <w:kern w:val="0"/>
          <w:sz w:val="28"/>
          <w:szCs w:val="28"/>
        </w:rPr>
        <w:t>XXX</w:t>
      </w:r>
      <w:r>
        <w:rPr>
          <w:rFonts w:hint="eastAsia" w:ascii="黑体" w:hAnsi="黑体" w:eastAsia="黑体" w:cs="宋体"/>
          <w:b w:val="0"/>
          <w:kern w:val="0"/>
          <w:sz w:val="28"/>
          <w:szCs w:val="28"/>
        </w:rPr>
        <w:t>省</w:t>
      </w:r>
      <w:r>
        <w:rPr>
          <w:rFonts w:ascii="黑体" w:hAnsi="黑体" w:eastAsia="黑体" w:cs="宋体"/>
          <w:b w:val="0"/>
          <w:kern w:val="0"/>
          <w:sz w:val="28"/>
          <w:szCs w:val="28"/>
        </w:rPr>
        <w:t>/自治区/直辖市/计划单列市/新疆生产建设兵团</w:t>
      </w:r>
      <w:bookmarkEnd w:id="6"/>
      <w:r>
        <w:rPr>
          <w:rFonts w:hint="eastAsia" w:ascii="黑体" w:hAnsi="黑体" w:eastAsia="黑体" w:cs="宋体"/>
          <w:b w:val="0"/>
          <w:kern w:val="0"/>
          <w:sz w:val="28"/>
          <w:szCs w:val="28"/>
        </w:rPr>
        <w:t>全过程工程咨询服务发展状况</w:t>
      </w:r>
    </w:p>
    <w:p w14:paraId="132169BB">
      <w:pPr>
        <w:pStyle w:val="3"/>
        <w:spacing w:before="156" w:beforeLines="50" w:beforeAutospacing="0" w:after="156" w:afterLines="50" w:afterAutospacing="0" w:line="360" w:lineRule="auto"/>
        <w:ind w:firstLine="560" w:firstLineChars="200"/>
        <w:rPr>
          <w:rFonts w:ascii="黑体" w:hAnsi="黑体" w:eastAsia="黑体"/>
          <w:b w:val="0"/>
          <w:bCs w:val="0"/>
          <w:sz w:val="28"/>
          <w:szCs w:val="28"/>
        </w:rPr>
      </w:pPr>
      <w:r>
        <w:rPr>
          <w:rFonts w:hint="eastAsia" w:ascii="黑体" w:hAnsi="黑体" w:eastAsia="黑体"/>
          <w:b w:val="0"/>
          <w:bCs w:val="0"/>
          <w:sz w:val="28"/>
          <w:szCs w:val="28"/>
        </w:rPr>
        <w:t>1</w:t>
      </w:r>
      <w:r>
        <w:rPr>
          <w:rFonts w:ascii="黑体" w:hAnsi="黑体" w:eastAsia="黑体"/>
          <w:b w:val="0"/>
          <w:bCs w:val="0"/>
          <w:sz w:val="28"/>
          <w:szCs w:val="28"/>
        </w:rPr>
        <w:t xml:space="preserve">.1 </w:t>
      </w:r>
      <w:r>
        <w:rPr>
          <w:rFonts w:hint="eastAsia" w:ascii="黑体" w:hAnsi="黑体" w:eastAsia="黑体"/>
          <w:b w:val="0"/>
          <w:sz w:val="28"/>
          <w:szCs w:val="28"/>
        </w:rPr>
        <w:t>全过程工程咨询服务发展历程</w:t>
      </w:r>
    </w:p>
    <w:p w14:paraId="50654825">
      <w:pPr>
        <w:widowControl/>
        <w:adjustRightInd w:val="0"/>
        <w:snapToGrid w:val="0"/>
        <w:spacing w:line="360" w:lineRule="auto"/>
        <w:ind w:firstLine="560" w:firstLineChars="200"/>
        <w:jc w:val="left"/>
        <w:rPr>
          <w:rFonts w:ascii="仿宋_GB2312" w:hAnsi="宋体" w:eastAsia="仿宋_GB2312" w:cs="宋体"/>
          <w:kern w:val="0"/>
          <w:sz w:val="28"/>
          <w:szCs w:val="28"/>
        </w:rPr>
      </w:pPr>
      <w:r>
        <w:rPr>
          <w:rFonts w:hint="eastAsia" w:ascii="仿宋_GB2312" w:hAnsi="宋体" w:eastAsia="仿宋_GB2312" w:cs="宋体"/>
          <w:kern w:val="0"/>
          <w:sz w:val="28"/>
          <w:szCs w:val="28"/>
        </w:rPr>
        <w:t>梳理本区域推广全过程工程咨询的时间节点、分阶段推进举措，列明省级、市级出台首批试点文件、全面推广文件、配套管理文件发布时间，简述本地全过程工程咨询服务从试点探索到全域铺开的演变过程。</w:t>
      </w:r>
    </w:p>
    <w:p w14:paraId="569BF082">
      <w:pPr>
        <w:pStyle w:val="3"/>
        <w:spacing w:before="156" w:beforeLines="50" w:beforeAutospacing="0" w:after="156" w:afterLines="50" w:afterAutospacing="0" w:line="360" w:lineRule="auto"/>
        <w:ind w:firstLine="560" w:firstLineChars="200"/>
        <w:rPr>
          <w:rFonts w:ascii="黑体" w:hAnsi="黑体" w:eastAsia="黑体"/>
          <w:b w:val="0"/>
          <w:bCs w:val="0"/>
          <w:sz w:val="28"/>
          <w:szCs w:val="28"/>
        </w:rPr>
      </w:pPr>
      <w:r>
        <w:rPr>
          <w:rFonts w:hint="eastAsia" w:ascii="黑体" w:hAnsi="黑体" w:eastAsia="黑体"/>
          <w:b w:val="0"/>
          <w:bCs w:val="0"/>
          <w:sz w:val="28"/>
          <w:szCs w:val="28"/>
        </w:rPr>
        <w:t>1</w:t>
      </w:r>
      <w:r>
        <w:rPr>
          <w:rFonts w:ascii="黑体" w:hAnsi="黑体" w:eastAsia="黑体"/>
          <w:b w:val="0"/>
          <w:bCs w:val="0"/>
          <w:sz w:val="28"/>
          <w:szCs w:val="28"/>
        </w:rPr>
        <w:t xml:space="preserve">.2 </w:t>
      </w:r>
      <w:r>
        <w:rPr>
          <w:rFonts w:hint="eastAsia" w:ascii="黑体" w:hAnsi="黑体" w:eastAsia="黑体"/>
          <w:b w:val="0"/>
          <w:bCs w:val="0"/>
          <w:sz w:val="28"/>
          <w:szCs w:val="28"/>
        </w:rPr>
        <w:t>配套政策落地实施情况</w:t>
      </w:r>
    </w:p>
    <w:p w14:paraId="15CA1F8A">
      <w:pPr>
        <w:widowControl/>
        <w:adjustRightInd w:val="0"/>
        <w:snapToGrid w:val="0"/>
        <w:spacing w:line="360" w:lineRule="auto"/>
        <w:ind w:firstLine="560" w:firstLineChars="200"/>
        <w:jc w:val="left"/>
        <w:rPr>
          <w:rFonts w:ascii="仿宋_GB2312" w:hAnsi="宋体" w:eastAsia="仿宋_GB2312" w:cs="宋体"/>
          <w:kern w:val="0"/>
          <w:sz w:val="28"/>
          <w:szCs w:val="28"/>
        </w:rPr>
      </w:pPr>
      <w:r>
        <w:rPr>
          <w:rFonts w:hint="eastAsia" w:ascii="仿宋_GB2312" w:hAnsi="宋体" w:eastAsia="仿宋_GB2312" w:cs="宋体"/>
          <w:kern w:val="0"/>
          <w:sz w:val="28"/>
          <w:szCs w:val="28"/>
        </w:rPr>
        <w:t>1.2.1 国家政策、本区域配套细化文件清单（省级招投标管理、取费、权责管理等文件）；</w:t>
      </w:r>
    </w:p>
    <w:p w14:paraId="0628A1C4">
      <w:pPr>
        <w:widowControl/>
        <w:adjustRightInd w:val="0"/>
        <w:snapToGrid w:val="0"/>
        <w:spacing w:line="360" w:lineRule="auto"/>
        <w:ind w:firstLine="560" w:firstLineChars="200"/>
        <w:jc w:val="left"/>
        <w:rPr>
          <w:rFonts w:ascii="仿宋_GB2312" w:hAnsi="宋体" w:eastAsia="仿宋_GB2312" w:cs="宋体"/>
          <w:kern w:val="0"/>
          <w:sz w:val="28"/>
          <w:szCs w:val="28"/>
        </w:rPr>
      </w:pPr>
      <w:r>
        <w:rPr>
          <w:rFonts w:hint="eastAsia" w:ascii="仿宋_GB2312" w:hAnsi="宋体" w:eastAsia="仿宋_GB2312" w:cs="宋体"/>
          <w:kern w:val="0"/>
          <w:sz w:val="28"/>
          <w:szCs w:val="28"/>
        </w:rPr>
        <w:t>1.2.2本区域政策执行差异，包括：区域内各地市/区推广力度、发包要求、激励政策对比等；</w:t>
      </w:r>
    </w:p>
    <w:p w14:paraId="322032DB">
      <w:pPr>
        <w:widowControl/>
        <w:adjustRightInd w:val="0"/>
        <w:snapToGrid w:val="0"/>
        <w:spacing w:line="360" w:lineRule="auto"/>
        <w:ind w:firstLine="560" w:firstLineChars="200"/>
        <w:jc w:val="left"/>
        <w:rPr>
          <w:rFonts w:ascii="仿宋_GB2312" w:hAnsi="宋体" w:eastAsia="仿宋_GB2312" w:cs="宋体"/>
          <w:kern w:val="0"/>
          <w:sz w:val="28"/>
          <w:szCs w:val="28"/>
        </w:rPr>
      </w:pPr>
      <w:r>
        <w:rPr>
          <w:rFonts w:hint="eastAsia" w:ascii="仿宋_GB2312" w:hAnsi="宋体" w:eastAsia="仿宋_GB2312" w:cs="宋体"/>
          <w:kern w:val="0"/>
          <w:sz w:val="28"/>
          <w:szCs w:val="28"/>
        </w:rPr>
        <w:t>1.2.3当前本区域政策存在的短板，包括：政策空白、条款滞后、跨行业执行不统一等问题。</w:t>
      </w:r>
    </w:p>
    <w:p w14:paraId="3036C0A0">
      <w:pPr>
        <w:pStyle w:val="3"/>
        <w:spacing w:before="156" w:beforeLines="50" w:beforeAutospacing="0" w:after="156" w:afterLines="50" w:afterAutospacing="0" w:line="360" w:lineRule="auto"/>
        <w:ind w:firstLine="560" w:firstLineChars="200"/>
        <w:rPr>
          <w:rFonts w:ascii="黑体" w:hAnsi="黑体" w:eastAsia="黑体"/>
          <w:b w:val="0"/>
          <w:bCs w:val="0"/>
          <w:sz w:val="28"/>
          <w:szCs w:val="28"/>
        </w:rPr>
      </w:pPr>
      <w:r>
        <w:rPr>
          <w:rFonts w:hint="eastAsia" w:ascii="黑体" w:hAnsi="黑体" w:eastAsia="黑体"/>
          <w:b w:val="0"/>
          <w:bCs w:val="0"/>
          <w:sz w:val="28"/>
          <w:szCs w:val="28"/>
        </w:rPr>
        <w:t>1</w:t>
      </w:r>
      <w:r>
        <w:rPr>
          <w:rFonts w:ascii="黑体" w:hAnsi="黑体" w:eastAsia="黑体"/>
          <w:b w:val="0"/>
          <w:bCs w:val="0"/>
          <w:sz w:val="28"/>
          <w:szCs w:val="28"/>
        </w:rPr>
        <w:t>.3</w:t>
      </w:r>
      <w:r>
        <w:rPr>
          <w:rFonts w:hint="eastAsia" w:ascii="黑体" w:hAnsi="黑体" w:eastAsia="黑体"/>
          <w:b w:val="0"/>
          <w:bCs w:val="0"/>
          <w:sz w:val="28"/>
          <w:szCs w:val="28"/>
        </w:rPr>
        <w:t xml:space="preserve"> 标准与规范体系建设现状</w:t>
      </w:r>
    </w:p>
    <w:p w14:paraId="5C80744E">
      <w:pPr>
        <w:widowControl/>
        <w:adjustRightInd w:val="0"/>
        <w:snapToGrid w:val="0"/>
        <w:spacing w:line="360" w:lineRule="auto"/>
        <w:ind w:firstLine="560" w:firstLineChars="200"/>
        <w:jc w:val="left"/>
        <w:rPr>
          <w:rFonts w:ascii="仿宋_GB2312" w:hAnsi="宋体" w:eastAsia="仿宋_GB2312" w:cs="宋体"/>
          <w:kern w:val="0"/>
          <w:sz w:val="28"/>
          <w:szCs w:val="28"/>
        </w:rPr>
      </w:pPr>
      <w:r>
        <w:rPr>
          <w:rFonts w:hint="eastAsia" w:ascii="仿宋_GB2312" w:hAnsi="宋体" w:eastAsia="仿宋_GB2312" w:cs="宋体"/>
          <w:kern w:val="0"/>
          <w:sz w:val="28"/>
          <w:szCs w:val="28"/>
        </w:rPr>
        <w:t>梳理本区域当前全过程工程咨询服务标准、规范、合同范本、履约评价体系等建设情况，研判标准缺失、规范滞后、服务适配性不足等问题。</w:t>
      </w:r>
    </w:p>
    <w:p w14:paraId="6A1B286B">
      <w:pPr>
        <w:pStyle w:val="3"/>
        <w:spacing w:before="156" w:beforeLines="50" w:beforeAutospacing="0" w:after="156" w:afterLines="50" w:afterAutospacing="0" w:line="360" w:lineRule="auto"/>
        <w:ind w:firstLine="560" w:firstLineChars="200"/>
        <w:rPr>
          <w:rFonts w:ascii="黑体" w:hAnsi="黑体" w:eastAsia="黑体"/>
          <w:b w:val="0"/>
          <w:bCs w:val="0"/>
          <w:sz w:val="28"/>
          <w:szCs w:val="28"/>
        </w:rPr>
      </w:pPr>
      <w:r>
        <w:rPr>
          <w:rFonts w:hint="eastAsia" w:ascii="黑体" w:hAnsi="黑体" w:eastAsia="黑体"/>
          <w:b w:val="0"/>
          <w:bCs w:val="0"/>
          <w:sz w:val="28"/>
          <w:szCs w:val="28"/>
        </w:rPr>
        <w:t>1</w:t>
      </w:r>
      <w:r>
        <w:rPr>
          <w:rFonts w:ascii="黑体" w:hAnsi="黑体" w:eastAsia="黑体"/>
          <w:b w:val="0"/>
          <w:bCs w:val="0"/>
          <w:sz w:val="28"/>
          <w:szCs w:val="28"/>
        </w:rPr>
        <w:t>.4</w:t>
      </w:r>
      <w:r>
        <w:rPr>
          <w:rFonts w:hint="eastAsia" w:ascii="黑体" w:hAnsi="黑体" w:eastAsia="黑体"/>
          <w:b w:val="0"/>
          <w:bCs w:val="0"/>
          <w:sz w:val="28"/>
          <w:szCs w:val="28"/>
        </w:rPr>
        <w:t xml:space="preserve"> 整体发展阶段研判</w:t>
      </w:r>
    </w:p>
    <w:p w14:paraId="3AC4A9B7">
      <w:pPr>
        <w:widowControl/>
        <w:adjustRightInd w:val="0"/>
        <w:snapToGrid w:val="0"/>
        <w:spacing w:line="360" w:lineRule="auto"/>
        <w:ind w:firstLine="560" w:firstLineChars="200"/>
        <w:jc w:val="left"/>
        <w:rPr>
          <w:rFonts w:ascii="仿宋_GB2312" w:hAnsi="宋体" w:eastAsia="仿宋_GB2312" w:cs="宋体"/>
          <w:kern w:val="0"/>
          <w:sz w:val="28"/>
          <w:szCs w:val="28"/>
        </w:rPr>
      </w:pPr>
      <w:r>
        <w:rPr>
          <w:rFonts w:hint="eastAsia" w:ascii="仿宋_GB2312" w:hAnsi="宋体" w:eastAsia="仿宋_GB2312" w:cs="宋体"/>
          <w:kern w:val="0"/>
          <w:sz w:val="28"/>
          <w:szCs w:val="28"/>
        </w:rPr>
        <w:t>结合本区域全过程工程咨询服务政策落地、市场渗透率、企业服务能力、项目落地质量，客观研判当前本区域全过程工程咨询服务所处发展阶段、整体成效，简要说明研判依据。</w:t>
      </w:r>
    </w:p>
    <w:p w14:paraId="1CA33233">
      <w:pPr>
        <w:widowControl/>
        <w:adjustRightInd w:val="0"/>
        <w:snapToGrid w:val="0"/>
        <w:spacing w:line="360" w:lineRule="auto"/>
        <w:ind w:firstLine="420" w:firstLineChars="200"/>
        <w:jc w:val="left"/>
        <w:rPr>
          <w:rFonts w:ascii="黑体" w:hAnsi="黑体" w:eastAsia="黑体" w:cs="宋体"/>
          <w:kern w:val="0"/>
          <w:szCs w:val="21"/>
        </w:rPr>
      </w:pPr>
      <w:r>
        <w:rPr>
          <w:rFonts w:hint="eastAsia" w:ascii="黑体" w:hAnsi="黑体" w:eastAsia="黑体" w:cs="宋体"/>
          <w:kern w:val="0"/>
          <w:szCs w:val="21"/>
        </w:rPr>
        <w:t>注：全过程工程咨询服务发展</w:t>
      </w:r>
      <w:r>
        <w:rPr>
          <w:rFonts w:hint="eastAsia" w:ascii="Segoe UI Symbol" w:hAnsi="Segoe UI Symbol" w:eastAsia="黑体" w:cs="Segoe UI Symbol"/>
          <w:kern w:val="0"/>
          <w:szCs w:val="21"/>
        </w:rPr>
        <w:t>可分为试点期（特点：只有少数龙头企业在做，地方政府没有出台专门文件）、推广期（特点：省级文件出台了，但各地执行差别大，企业多为临时拼凑组合）、规范期（特点：合同范本、地方管理细则陆续出台，项目数趋于平稳）和高质量期（特点：集成化凸显、价值创造、数字化赋能主导）四个阶段及阶段的过渡期，地方协会可从通过本区域相关政策完善度、市场占有率、企业全咨业务比重、项目全生命周期覆盖程度进行判定。</w:t>
      </w:r>
    </w:p>
    <w:p w14:paraId="4F118B4D">
      <w:pPr>
        <w:pStyle w:val="2"/>
        <w:spacing w:before="0" w:after="0" w:line="360" w:lineRule="auto"/>
        <w:jc w:val="center"/>
        <w:rPr>
          <w:rFonts w:ascii="黑体" w:hAnsi="黑体" w:eastAsia="黑体" w:cs="宋体"/>
          <w:b w:val="0"/>
          <w:bCs w:val="0"/>
          <w:kern w:val="0"/>
          <w:sz w:val="28"/>
          <w:szCs w:val="28"/>
        </w:rPr>
      </w:pPr>
      <w:r>
        <w:rPr>
          <w:rFonts w:hint="eastAsia" w:ascii="黑体" w:hAnsi="黑体" w:eastAsia="黑体" w:cs="宋体"/>
          <w:b w:val="0"/>
          <w:bCs w:val="0"/>
          <w:kern w:val="0"/>
          <w:sz w:val="28"/>
          <w:szCs w:val="28"/>
        </w:rPr>
        <w:t xml:space="preserve">第二章 </w:t>
      </w:r>
      <w:r>
        <w:rPr>
          <w:rFonts w:ascii="黑体" w:hAnsi="黑体" w:eastAsia="黑体" w:cs="宋体"/>
          <w:b w:val="0"/>
          <w:kern w:val="0"/>
          <w:sz w:val="28"/>
          <w:szCs w:val="28"/>
        </w:rPr>
        <w:t>XXX</w:t>
      </w:r>
      <w:r>
        <w:rPr>
          <w:rFonts w:hint="eastAsia" w:ascii="黑体" w:hAnsi="黑体" w:eastAsia="黑体" w:cs="宋体"/>
          <w:b w:val="0"/>
          <w:kern w:val="0"/>
          <w:sz w:val="28"/>
          <w:szCs w:val="28"/>
        </w:rPr>
        <w:t>省</w:t>
      </w:r>
      <w:r>
        <w:rPr>
          <w:rFonts w:ascii="黑体" w:hAnsi="黑体" w:eastAsia="黑体" w:cs="宋体"/>
          <w:b w:val="0"/>
          <w:kern w:val="0"/>
          <w:sz w:val="28"/>
          <w:szCs w:val="28"/>
        </w:rPr>
        <w:t>/自治区/直辖市/计划单列市/新疆生产建设兵团</w:t>
      </w:r>
      <w:r>
        <w:rPr>
          <w:rFonts w:hint="eastAsia" w:ascii="黑体" w:hAnsi="黑体" w:eastAsia="黑体" w:cs="宋体"/>
          <w:b w:val="0"/>
          <w:bCs w:val="0"/>
          <w:kern w:val="0"/>
          <w:sz w:val="28"/>
          <w:szCs w:val="28"/>
        </w:rPr>
        <w:t>全过程工程咨询服务发展现状</w:t>
      </w:r>
    </w:p>
    <w:p w14:paraId="257F0FB8">
      <w:pPr>
        <w:pStyle w:val="3"/>
        <w:spacing w:before="156" w:beforeLines="50" w:beforeAutospacing="0" w:after="156" w:afterLines="50" w:afterAutospacing="0" w:line="360" w:lineRule="auto"/>
        <w:ind w:firstLine="560" w:firstLineChars="200"/>
        <w:rPr>
          <w:rFonts w:ascii="黑体" w:hAnsi="黑体" w:eastAsia="黑体"/>
          <w:b w:val="0"/>
          <w:bCs w:val="0"/>
          <w:sz w:val="28"/>
          <w:szCs w:val="28"/>
        </w:rPr>
      </w:pPr>
      <w:r>
        <w:rPr>
          <w:rFonts w:hint="eastAsia" w:ascii="黑体" w:hAnsi="黑体" w:eastAsia="黑体"/>
          <w:b w:val="0"/>
          <w:bCs w:val="0"/>
          <w:sz w:val="28"/>
          <w:szCs w:val="28"/>
        </w:rPr>
        <w:t>2</w:t>
      </w:r>
      <w:r>
        <w:rPr>
          <w:rFonts w:ascii="黑体" w:hAnsi="黑体" w:eastAsia="黑体"/>
          <w:b w:val="0"/>
          <w:bCs w:val="0"/>
          <w:sz w:val="28"/>
          <w:szCs w:val="28"/>
        </w:rPr>
        <w:t>.1</w:t>
      </w:r>
      <w:r>
        <w:rPr>
          <w:rFonts w:hint="eastAsia" w:ascii="黑体" w:hAnsi="黑体" w:eastAsia="黑体"/>
          <w:b w:val="0"/>
          <w:bCs w:val="0"/>
          <w:sz w:val="28"/>
          <w:szCs w:val="28"/>
        </w:rPr>
        <w:t xml:space="preserve"> 整体发展现状</w:t>
      </w:r>
    </w:p>
    <w:p w14:paraId="2933602D">
      <w:pPr>
        <w:widowControl/>
        <w:adjustRightInd w:val="0"/>
        <w:snapToGrid w:val="0"/>
        <w:spacing w:line="360" w:lineRule="auto"/>
        <w:ind w:firstLine="560" w:firstLineChars="200"/>
        <w:jc w:val="left"/>
        <w:rPr>
          <w:rFonts w:ascii="仿宋_GB2312" w:hAnsi="宋体" w:eastAsia="仿宋_GB2312" w:cs="宋体"/>
          <w:kern w:val="0"/>
          <w:sz w:val="28"/>
          <w:szCs w:val="28"/>
        </w:rPr>
      </w:pPr>
      <w:r>
        <w:rPr>
          <w:rFonts w:hint="eastAsia" w:ascii="仿宋_GB2312" w:hAnsi="宋体" w:eastAsia="仿宋_GB2312" w:cs="宋体"/>
          <w:kern w:val="0"/>
          <w:sz w:val="28"/>
          <w:szCs w:val="28"/>
        </w:rPr>
        <w:t>统计本区域全过程工程咨询服务业务指标变化，重点调研：本区域全过程工程咨询服务项目数量、合同额、年度增速、营收占比、合同架构模式、牵头主导业务类型、业务分布地域、服务覆盖阶段完整度等发展情况。</w:t>
      </w:r>
    </w:p>
    <w:p w14:paraId="664E02A0">
      <w:pPr>
        <w:pStyle w:val="3"/>
        <w:spacing w:before="156" w:beforeLines="50" w:beforeAutospacing="0" w:after="156" w:afterLines="50" w:afterAutospacing="0" w:line="360" w:lineRule="auto"/>
        <w:ind w:firstLine="560" w:firstLineChars="200"/>
        <w:rPr>
          <w:rFonts w:ascii="黑体" w:hAnsi="黑体" w:eastAsia="黑体"/>
          <w:b w:val="0"/>
          <w:bCs w:val="0"/>
          <w:sz w:val="28"/>
          <w:szCs w:val="28"/>
        </w:rPr>
      </w:pPr>
      <w:r>
        <w:rPr>
          <w:rFonts w:hint="eastAsia" w:ascii="黑体" w:hAnsi="黑体" w:eastAsia="黑体"/>
          <w:b w:val="0"/>
          <w:bCs w:val="0"/>
          <w:sz w:val="28"/>
          <w:szCs w:val="28"/>
        </w:rPr>
        <w:t>2</w:t>
      </w:r>
      <w:r>
        <w:rPr>
          <w:rFonts w:ascii="黑体" w:hAnsi="黑体" w:eastAsia="黑体"/>
          <w:b w:val="0"/>
          <w:bCs w:val="0"/>
          <w:sz w:val="28"/>
          <w:szCs w:val="28"/>
        </w:rPr>
        <w:t>.2</w:t>
      </w:r>
      <w:r>
        <w:rPr>
          <w:rFonts w:hint="eastAsia" w:ascii="黑体" w:hAnsi="黑体" w:eastAsia="黑体"/>
          <w:b w:val="0"/>
          <w:bCs w:val="0"/>
          <w:sz w:val="28"/>
          <w:szCs w:val="28"/>
        </w:rPr>
        <w:t xml:space="preserve"> 市场主流服务模式及实操特点</w:t>
      </w:r>
    </w:p>
    <w:p w14:paraId="7601544D">
      <w:pPr>
        <w:widowControl/>
        <w:adjustRightInd w:val="0"/>
        <w:snapToGrid w:val="0"/>
        <w:spacing w:line="360" w:lineRule="auto"/>
        <w:ind w:firstLine="560" w:firstLineChars="200"/>
        <w:jc w:val="left"/>
        <w:rPr>
          <w:rFonts w:ascii="仿宋_GB2312" w:hAnsi="宋体" w:eastAsia="仿宋_GB2312" w:cs="宋体"/>
          <w:kern w:val="0"/>
          <w:sz w:val="28"/>
          <w:szCs w:val="28"/>
        </w:rPr>
      </w:pPr>
      <w:r>
        <w:rPr>
          <w:rFonts w:hint="eastAsia" w:ascii="仿宋_GB2312" w:hAnsi="宋体" w:eastAsia="仿宋_GB2312" w:cs="宋体"/>
          <w:kern w:val="0"/>
          <w:sz w:val="28"/>
          <w:szCs w:val="28"/>
        </w:rPr>
        <w:t>系统摸排</w:t>
      </w:r>
      <w:bookmarkStart w:id="7" w:name="OLE_LINK7"/>
      <w:bookmarkStart w:id="8" w:name="OLE_LINK6"/>
      <w:r>
        <w:rPr>
          <w:rFonts w:hint="eastAsia" w:ascii="仿宋_GB2312" w:hAnsi="宋体" w:eastAsia="仿宋_GB2312" w:cs="宋体"/>
          <w:kern w:val="0"/>
          <w:sz w:val="28"/>
          <w:szCs w:val="28"/>
        </w:rPr>
        <w:t>本区域</w:t>
      </w:r>
      <w:bookmarkEnd w:id="7"/>
      <w:bookmarkEnd w:id="8"/>
      <w:r>
        <w:rPr>
          <w:rFonts w:hint="eastAsia" w:ascii="仿宋_GB2312" w:hAnsi="宋体" w:eastAsia="仿宋_GB2312" w:cs="宋体"/>
          <w:kern w:val="0"/>
          <w:sz w:val="28"/>
          <w:szCs w:val="28"/>
        </w:rPr>
        <w:t>全过程工程咨询服务主流服务模式（独立委托模式、联合体模式、咨询总包模式等），对比各类模式的适用场景、招标规则、计价方式、权责特点与实操痛点等。</w:t>
      </w:r>
    </w:p>
    <w:p w14:paraId="26979BBF">
      <w:pPr>
        <w:pStyle w:val="3"/>
        <w:spacing w:before="156" w:beforeLines="50" w:beforeAutospacing="0" w:after="156" w:afterLines="50" w:afterAutospacing="0" w:line="360" w:lineRule="auto"/>
        <w:ind w:firstLine="560" w:firstLineChars="200"/>
        <w:rPr>
          <w:rFonts w:ascii="黑体" w:hAnsi="黑体" w:eastAsia="黑体"/>
          <w:b w:val="0"/>
          <w:bCs w:val="0"/>
          <w:sz w:val="28"/>
          <w:szCs w:val="28"/>
        </w:rPr>
      </w:pPr>
      <w:r>
        <w:rPr>
          <w:rFonts w:hint="eastAsia" w:ascii="黑体" w:hAnsi="黑体" w:eastAsia="黑体"/>
          <w:b w:val="0"/>
          <w:bCs w:val="0"/>
          <w:sz w:val="28"/>
          <w:szCs w:val="28"/>
        </w:rPr>
        <w:t>2</w:t>
      </w:r>
      <w:r>
        <w:rPr>
          <w:rFonts w:ascii="黑体" w:hAnsi="黑体" w:eastAsia="黑体"/>
          <w:b w:val="0"/>
          <w:bCs w:val="0"/>
          <w:sz w:val="28"/>
          <w:szCs w:val="28"/>
        </w:rPr>
        <w:t>.</w:t>
      </w:r>
      <w:r>
        <w:rPr>
          <w:rFonts w:hint="eastAsia" w:ascii="黑体" w:hAnsi="黑体" w:eastAsia="黑体"/>
          <w:b w:val="0"/>
          <w:bCs w:val="0"/>
          <w:sz w:val="28"/>
          <w:szCs w:val="28"/>
        </w:rPr>
        <w:t>3</w:t>
      </w:r>
      <w:r>
        <w:rPr>
          <w:rFonts w:ascii="黑体" w:hAnsi="黑体" w:eastAsia="黑体"/>
          <w:b w:val="0"/>
          <w:bCs w:val="0"/>
          <w:sz w:val="28"/>
          <w:szCs w:val="28"/>
        </w:rPr>
        <w:t xml:space="preserve"> </w:t>
      </w:r>
      <w:r>
        <w:rPr>
          <w:rFonts w:hint="eastAsia" w:ascii="黑体" w:hAnsi="黑体" w:eastAsia="黑体"/>
          <w:b w:val="0"/>
          <w:bCs w:val="0"/>
          <w:sz w:val="28"/>
          <w:szCs w:val="28"/>
        </w:rPr>
        <w:t>人才队伍结构现状与变化趋势</w:t>
      </w:r>
    </w:p>
    <w:p w14:paraId="0AAC158A">
      <w:pPr>
        <w:widowControl/>
        <w:adjustRightInd w:val="0"/>
        <w:snapToGrid w:val="0"/>
        <w:spacing w:line="360" w:lineRule="auto"/>
        <w:ind w:firstLine="560" w:firstLineChars="200"/>
        <w:jc w:val="left"/>
        <w:rPr>
          <w:rFonts w:ascii="仿宋_GB2312" w:hAnsi="宋体" w:eastAsia="仿宋_GB2312" w:cs="宋体"/>
          <w:kern w:val="0"/>
          <w:sz w:val="28"/>
          <w:szCs w:val="28"/>
        </w:rPr>
      </w:pPr>
      <w:r>
        <w:rPr>
          <w:rFonts w:hint="eastAsia" w:ascii="仿宋_GB2312" w:hAnsi="宋体" w:eastAsia="仿宋_GB2312" w:cs="宋体"/>
          <w:kern w:val="0"/>
          <w:sz w:val="28"/>
          <w:szCs w:val="28"/>
        </w:rPr>
        <w:t>系统研判本区域从事全过程工程咨询服务人才队伍变化情况，重点统计分析从事全过程工程咨询服务人员数量变化、人才队伍培养做法、人才培养或管理上遇到的难点与举措，研判从事全过程工程咨询服务人才短板与适配性问题。</w:t>
      </w:r>
    </w:p>
    <w:p w14:paraId="54921ACA">
      <w:pPr>
        <w:pStyle w:val="3"/>
        <w:spacing w:before="156" w:beforeLines="50" w:beforeAutospacing="0" w:after="156" w:afterLines="50" w:afterAutospacing="0" w:line="360" w:lineRule="auto"/>
        <w:ind w:firstLine="560" w:firstLineChars="200"/>
        <w:rPr>
          <w:rFonts w:ascii="黑体" w:hAnsi="黑体" w:eastAsia="黑体"/>
          <w:b w:val="0"/>
          <w:bCs w:val="0"/>
          <w:sz w:val="28"/>
          <w:szCs w:val="28"/>
        </w:rPr>
      </w:pPr>
      <w:r>
        <w:rPr>
          <w:rFonts w:hint="eastAsia" w:ascii="黑体" w:hAnsi="黑体" w:eastAsia="黑体"/>
          <w:b w:val="0"/>
          <w:bCs w:val="0"/>
          <w:sz w:val="28"/>
          <w:szCs w:val="28"/>
        </w:rPr>
        <w:t>2</w:t>
      </w:r>
      <w:r>
        <w:rPr>
          <w:rFonts w:ascii="黑体" w:hAnsi="黑体" w:eastAsia="黑体"/>
          <w:b w:val="0"/>
          <w:bCs w:val="0"/>
          <w:sz w:val="28"/>
          <w:szCs w:val="28"/>
        </w:rPr>
        <w:t>.</w:t>
      </w:r>
      <w:r>
        <w:rPr>
          <w:rFonts w:hint="eastAsia" w:ascii="黑体" w:hAnsi="黑体" w:eastAsia="黑体"/>
          <w:b w:val="0"/>
          <w:bCs w:val="0"/>
          <w:sz w:val="28"/>
          <w:szCs w:val="28"/>
        </w:rPr>
        <w:t>4</w:t>
      </w:r>
      <w:r>
        <w:rPr>
          <w:rFonts w:ascii="黑体" w:hAnsi="黑体" w:eastAsia="黑体"/>
          <w:b w:val="0"/>
          <w:bCs w:val="0"/>
          <w:sz w:val="28"/>
          <w:szCs w:val="28"/>
        </w:rPr>
        <w:t xml:space="preserve"> </w:t>
      </w:r>
      <w:r>
        <w:rPr>
          <w:rFonts w:hint="eastAsia" w:ascii="黑体" w:hAnsi="黑体" w:eastAsia="黑体"/>
          <w:b w:val="0"/>
          <w:bCs w:val="0"/>
          <w:sz w:val="28"/>
          <w:szCs w:val="28"/>
        </w:rPr>
        <w:t>科技创新、数字化与智能化应用情况</w:t>
      </w:r>
    </w:p>
    <w:p w14:paraId="38CC584A">
      <w:pPr>
        <w:widowControl/>
        <w:adjustRightInd w:val="0"/>
        <w:snapToGrid w:val="0"/>
        <w:spacing w:line="360" w:lineRule="auto"/>
        <w:ind w:firstLine="560" w:firstLineChars="200"/>
        <w:jc w:val="left"/>
        <w:rPr>
          <w:rFonts w:ascii="仿宋_GB2312" w:hAnsi="宋体" w:eastAsia="仿宋_GB2312" w:cs="宋体"/>
          <w:kern w:val="0"/>
          <w:sz w:val="28"/>
          <w:szCs w:val="28"/>
        </w:rPr>
      </w:pPr>
      <w:r>
        <w:rPr>
          <w:rFonts w:hint="eastAsia" w:ascii="仿宋_GB2312" w:hAnsi="宋体" w:eastAsia="仿宋_GB2312" w:cs="宋体"/>
          <w:kern w:val="0"/>
          <w:sz w:val="28"/>
          <w:szCs w:val="28"/>
        </w:rPr>
        <w:t>分析本区域全过程工程咨询服务创新发展现状，涵盖企业课题研究、全咨标准编制、软著、专利、工程奖项、管理创新成果；重点调研大数据、人工智能在全过程工程咨询服务各类场景中的落地应用情况、应用深度、现存壁垒与提质成效。</w:t>
      </w:r>
    </w:p>
    <w:p w14:paraId="7E975E24">
      <w:pPr>
        <w:pStyle w:val="3"/>
        <w:spacing w:before="156" w:beforeLines="50" w:beforeAutospacing="0" w:after="156" w:afterLines="50" w:afterAutospacing="0" w:line="360" w:lineRule="auto"/>
        <w:ind w:firstLine="560" w:firstLineChars="200"/>
        <w:rPr>
          <w:rFonts w:ascii="黑体" w:hAnsi="黑体" w:eastAsia="黑体"/>
          <w:b w:val="0"/>
          <w:bCs w:val="0"/>
          <w:sz w:val="28"/>
          <w:szCs w:val="28"/>
        </w:rPr>
      </w:pPr>
      <w:r>
        <w:rPr>
          <w:rFonts w:hint="eastAsia" w:ascii="黑体" w:hAnsi="黑体" w:eastAsia="黑体"/>
          <w:b w:val="0"/>
          <w:bCs w:val="0"/>
          <w:sz w:val="28"/>
          <w:szCs w:val="28"/>
        </w:rPr>
        <w:t>2</w:t>
      </w:r>
      <w:r>
        <w:rPr>
          <w:rFonts w:ascii="黑体" w:hAnsi="黑体" w:eastAsia="黑体"/>
          <w:b w:val="0"/>
          <w:bCs w:val="0"/>
          <w:sz w:val="28"/>
          <w:szCs w:val="28"/>
        </w:rPr>
        <w:t>.</w:t>
      </w:r>
      <w:r>
        <w:rPr>
          <w:rFonts w:hint="eastAsia" w:ascii="黑体" w:hAnsi="黑体" w:eastAsia="黑体"/>
          <w:b w:val="0"/>
          <w:bCs w:val="0"/>
          <w:sz w:val="28"/>
          <w:szCs w:val="28"/>
        </w:rPr>
        <w:t>5</w:t>
      </w:r>
      <w:r>
        <w:rPr>
          <w:rFonts w:ascii="黑体" w:hAnsi="黑体" w:eastAsia="黑体"/>
          <w:b w:val="0"/>
          <w:bCs w:val="0"/>
          <w:sz w:val="28"/>
          <w:szCs w:val="28"/>
        </w:rPr>
        <w:t xml:space="preserve"> </w:t>
      </w:r>
      <w:r>
        <w:rPr>
          <w:rFonts w:hint="eastAsia" w:ascii="黑体" w:hAnsi="黑体" w:eastAsia="黑体"/>
          <w:b w:val="0"/>
          <w:bCs w:val="0"/>
          <w:sz w:val="28"/>
          <w:szCs w:val="28"/>
        </w:rPr>
        <w:t>市场竞争下的现状分析</w:t>
      </w:r>
    </w:p>
    <w:p w14:paraId="596E9706">
      <w:pPr>
        <w:widowControl/>
        <w:adjustRightInd w:val="0"/>
        <w:snapToGrid w:val="0"/>
        <w:spacing w:line="360" w:lineRule="auto"/>
        <w:ind w:firstLine="560" w:firstLineChars="200"/>
        <w:jc w:val="left"/>
        <w:rPr>
          <w:rFonts w:ascii="仿宋_GB2312" w:hAnsi="宋体" w:eastAsia="仿宋_GB2312" w:cs="宋体"/>
          <w:kern w:val="0"/>
          <w:sz w:val="28"/>
          <w:szCs w:val="28"/>
        </w:rPr>
      </w:pPr>
      <w:r>
        <w:rPr>
          <w:rFonts w:hint="eastAsia" w:ascii="仿宋_GB2312" w:hAnsi="宋体" w:eastAsia="仿宋_GB2312" w:cs="宋体"/>
          <w:kern w:val="0"/>
          <w:sz w:val="28"/>
          <w:szCs w:val="28"/>
        </w:rPr>
        <w:t>调研</w:t>
      </w:r>
      <w:bookmarkStart w:id="9" w:name="OLE_LINK9"/>
      <w:bookmarkStart w:id="10" w:name="OLE_LINK8"/>
      <w:r>
        <w:rPr>
          <w:rFonts w:hint="eastAsia" w:ascii="仿宋_GB2312" w:hAnsi="宋体" w:eastAsia="仿宋_GB2312" w:cs="宋体"/>
          <w:kern w:val="0"/>
          <w:sz w:val="28"/>
          <w:szCs w:val="28"/>
        </w:rPr>
        <w:t>本区域</w:t>
      </w:r>
      <w:bookmarkEnd w:id="9"/>
      <w:bookmarkEnd w:id="10"/>
      <w:r>
        <w:rPr>
          <w:rFonts w:hint="eastAsia" w:ascii="仿宋_GB2312" w:hAnsi="宋体" w:eastAsia="仿宋_GB2312" w:cs="宋体"/>
          <w:kern w:val="0"/>
          <w:sz w:val="28"/>
          <w:szCs w:val="28"/>
        </w:rPr>
        <w:t>当前从事全过程工程咨询服务企业面临的市场环境、竞争格局、回款和成本压力、业务转型进展等现状，尽可能量化分析本区域从事全过程工程咨询服务企业市场竞争下的现实情况。</w:t>
      </w:r>
    </w:p>
    <w:p w14:paraId="1B107374">
      <w:pPr>
        <w:pStyle w:val="2"/>
        <w:spacing w:before="0" w:after="0" w:line="360" w:lineRule="auto"/>
        <w:jc w:val="center"/>
        <w:rPr>
          <w:rFonts w:ascii="黑体" w:hAnsi="黑体" w:eastAsia="黑体" w:cs="宋体"/>
          <w:b w:val="0"/>
          <w:bCs w:val="0"/>
          <w:kern w:val="0"/>
          <w:sz w:val="28"/>
          <w:szCs w:val="28"/>
        </w:rPr>
      </w:pPr>
      <w:r>
        <w:rPr>
          <w:rFonts w:hint="eastAsia" w:ascii="黑体" w:hAnsi="黑体" w:eastAsia="黑体" w:cs="宋体"/>
          <w:b w:val="0"/>
          <w:bCs w:val="0"/>
          <w:kern w:val="0"/>
          <w:sz w:val="28"/>
          <w:szCs w:val="28"/>
        </w:rPr>
        <w:t xml:space="preserve">第三章 </w:t>
      </w:r>
      <w:r>
        <w:rPr>
          <w:rFonts w:ascii="黑体" w:hAnsi="黑体" w:eastAsia="黑体" w:cs="宋体"/>
          <w:b w:val="0"/>
          <w:kern w:val="0"/>
          <w:sz w:val="28"/>
          <w:szCs w:val="28"/>
        </w:rPr>
        <w:t>XXX</w:t>
      </w:r>
      <w:r>
        <w:rPr>
          <w:rFonts w:hint="eastAsia" w:ascii="黑体" w:hAnsi="黑体" w:eastAsia="黑体" w:cs="宋体"/>
          <w:b w:val="0"/>
          <w:kern w:val="0"/>
          <w:sz w:val="28"/>
          <w:szCs w:val="28"/>
        </w:rPr>
        <w:t>省</w:t>
      </w:r>
      <w:r>
        <w:rPr>
          <w:rFonts w:ascii="黑体" w:hAnsi="黑体" w:eastAsia="黑体" w:cs="宋体"/>
          <w:b w:val="0"/>
          <w:kern w:val="0"/>
          <w:sz w:val="28"/>
          <w:szCs w:val="28"/>
        </w:rPr>
        <w:t>/自治区/直辖市/计划单列市/新疆生产建设兵团</w:t>
      </w:r>
      <w:r>
        <w:rPr>
          <w:rFonts w:hint="eastAsia" w:ascii="黑体" w:hAnsi="黑体" w:eastAsia="黑体" w:cs="宋体"/>
          <w:b w:val="0"/>
          <w:bCs w:val="0"/>
          <w:kern w:val="0"/>
          <w:sz w:val="28"/>
          <w:szCs w:val="28"/>
        </w:rPr>
        <w:t>全过程工程咨询服务发展短板、共性问题与细分行业个性化问题</w:t>
      </w:r>
    </w:p>
    <w:p w14:paraId="074B7F38">
      <w:pPr>
        <w:pStyle w:val="3"/>
        <w:spacing w:before="156" w:beforeLines="50" w:beforeAutospacing="0" w:after="156" w:afterLines="50" w:afterAutospacing="0" w:line="360" w:lineRule="auto"/>
        <w:ind w:firstLine="560" w:firstLineChars="200"/>
        <w:rPr>
          <w:rFonts w:ascii="黑体" w:hAnsi="黑体" w:eastAsia="黑体"/>
          <w:b w:val="0"/>
          <w:bCs w:val="0"/>
          <w:sz w:val="28"/>
          <w:szCs w:val="28"/>
        </w:rPr>
      </w:pPr>
      <w:r>
        <w:rPr>
          <w:rFonts w:hint="eastAsia" w:ascii="黑体" w:hAnsi="黑体" w:eastAsia="黑体"/>
          <w:b w:val="0"/>
          <w:bCs w:val="0"/>
          <w:sz w:val="28"/>
          <w:szCs w:val="28"/>
        </w:rPr>
        <w:t>3</w:t>
      </w:r>
      <w:r>
        <w:rPr>
          <w:rFonts w:ascii="黑体" w:hAnsi="黑体" w:eastAsia="黑体"/>
          <w:b w:val="0"/>
          <w:bCs w:val="0"/>
          <w:sz w:val="28"/>
          <w:szCs w:val="28"/>
        </w:rPr>
        <w:t>.1</w:t>
      </w:r>
      <w:r>
        <w:rPr>
          <w:rFonts w:hint="eastAsia" w:ascii="黑体" w:hAnsi="黑体" w:eastAsia="黑体"/>
          <w:b w:val="0"/>
          <w:bCs w:val="0"/>
          <w:sz w:val="28"/>
          <w:szCs w:val="28"/>
        </w:rPr>
        <w:t xml:space="preserve"> 全咨服务共性突出问题</w:t>
      </w:r>
    </w:p>
    <w:p w14:paraId="5060B8DF">
      <w:pPr>
        <w:widowControl/>
        <w:adjustRightInd w:val="0"/>
        <w:snapToGrid w:val="0"/>
        <w:spacing w:line="360" w:lineRule="auto"/>
        <w:ind w:firstLine="560" w:firstLineChars="200"/>
        <w:jc w:val="left"/>
        <w:rPr>
          <w:rFonts w:ascii="仿宋_GB2312" w:hAnsi="宋体" w:eastAsia="仿宋_GB2312" w:cs="宋体"/>
          <w:kern w:val="0"/>
          <w:sz w:val="28"/>
          <w:szCs w:val="28"/>
        </w:rPr>
      </w:pPr>
      <w:r>
        <w:rPr>
          <w:rFonts w:hint="eastAsia" w:ascii="仿宋_GB2312" w:hAnsi="宋体" w:eastAsia="仿宋_GB2312" w:cs="宋体"/>
          <w:kern w:val="0"/>
          <w:sz w:val="28"/>
          <w:szCs w:val="28"/>
        </w:rPr>
        <w:t>可从全咨服务价值体现不充分、碎片化服务依然存在、政策标准不统一、市场竞争不规范、企业全链条服务能力不足、复合型人才结构性短缺、数字化与AI应用滞后、管理权责边界模糊、风险与追责机制缺失、服务评价体系不完善等方面出发，系统梳理</w:t>
      </w:r>
      <w:bookmarkStart w:id="11" w:name="OLE_LINK12"/>
      <w:bookmarkStart w:id="12" w:name="OLE_LINK13"/>
      <w:bookmarkStart w:id="13" w:name="OLE_LINK14"/>
      <w:r>
        <w:rPr>
          <w:rFonts w:hint="eastAsia" w:ascii="仿宋_GB2312" w:hAnsi="宋体" w:eastAsia="仿宋_GB2312" w:cs="宋体"/>
          <w:kern w:val="0"/>
          <w:sz w:val="28"/>
          <w:szCs w:val="28"/>
        </w:rPr>
        <w:t>本区域</w:t>
      </w:r>
      <w:bookmarkEnd w:id="11"/>
      <w:bookmarkEnd w:id="12"/>
      <w:bookmarkEnd w:id="13"/>
      <w:r>
        <w:rPr>
          <w:rFonts w:hint="eastAsia" w:ascii="仿宋_GB2312" w:hAnsi="宋体" w:eastAsia="仿宋_GB2312" w:cs="宋体"/>
          <w:kern w:val="0"/>
          <w:sz w:val="28"/>
          <w:szCs w:val="28"/>
        </w:rPr>
        <w:t>全过程工程咨询服务共性问题。</w:t>
      </w:r>
    </w:p>
    <w:p w14:paraId="36957789">
      <w:pPr>
        <w:pStyle w:val="3"/>
        <w:spacing w:before="156" w:beforeLines="50" w:beforeAutospacing="0" w:after="156" w:afterLines="50" w:afterAutospacing="0" w:line="360" w:lineRule="auto"/>
        <w:ind w:firstLine="560" w:firstLineChars="200"/>
        <w:rPr>
          <w:rFonts w:ascii="黑体" w:hAnsi="黑体" w:eastAsia="黑体"/>
          <w:b w:val="0"/>
          <w:bCs w:val="0"/>
          <w:sz w:val="28"/>
          <w:szCs w:val="28"/>
        </w:rPr>
      </w:pPr>
      <w:r>
        <w:rPr>
          <w:rFonts w:hint="eastAsia" w:ascii="黑体" w:hAnsi="黑体" w:eastAsia="黑体"/>
          <w:b w:val="0"/>
          <w:bCs w:val="0"/>
          <w:sz w:val="28"/>
          <w:szCs w:val="28"/>
        </w:rPr>
        <w:t>3</w:t>
      </w:r>
      <w:r>
        <w:rPr>
          <w:rFonts w:ascii="黑体" w:hAnsi="黑体" w:eastAsia="黑体"/>
          <w:b w:val="0"/>
          <w:bCs w:val="0"/>
          <w:sz w:val="28"/>
          <w:szCs w:val="28"/>
        </w:rPr>
        <w:t xml:space="preserve">.2 </w:t>
      </w:r>
      <w:r>
        <w:rPr>
          <w:rFonts w:hint="eastAsia" w:ascii="黑体" w:hAnsi="黑体" w:eastAsia="黑体"/>
          <w:b w:val="0"/>
          <w:bCs w:val="0"/>
          <w:sz w:val="28"/>
          <w:szCs w:val="28"/>
        </w:rPr>
        <w:t>各细分行业个性化</w:t>
      </w:r>
      <w:bookmarkStart w:id="14" w:name="OLE_LINK15"/>
      <w:bookmarkStart w:id="15" w:name="OLE_LINK16"/>
      <w:r>
        <w:rPr>
          <w:rFonts w:hint="eastAsia" w:ascii="黑体" w:hAnsi="黑体" w:eastAsia="黑体"/>
          <w:b w:val="0"/>
          <w:bCs w:val="0"/>
          <w:sz w:val="28"/>
          <w:szCs w:val="28"/>
        </w:rPr>
        <w:t>突出</w:t>
      </w:r>
      <w:bookmarkEnd w:id="14"/>
      <w:bookmarkEnd w:id="15"/>
      <w:r>
        <w:rPr>
          <w:rFonts w:hint="eastAsia" w:ascii="黑体" w:hAnsi="黑体" w:eastAsia="黑体"/>
          <w:b w:val="0"/>
          <w:bCs w:val="0"/>
          <w:sz w:val="28"/>
          <w:szCs w:val="28"/>
        </w:rPr>
        <w:t>问题</w:t>
      </w:r>
    </w:p>
    <w:p w14:paraId="60B70282">
      <w:pPr>
        <w:widowControl/>
        <w:adjustRightInd w:val="0"/>
        <w:snapToGrid w:val="0"/>
        <w:spacing w:line="360" w:lineRule="auto"/>
        <w:ind w:firstLine="560" w:firstLineChars="200"/>
        <w:jc w:val="left"/>
        <w:rPr>
          <w:rFonts w:ascii="仿宋_GB2312" w:hAnsi="宋体" w:eastAsia="仿宋_GB2312" w:cs="宋体"/>
          <w:kern w:val="0"/>
          <w:sz w:val="28"/>
          <w:szCs w:val="28"/>
        </w:rPr>
      </w:pPr>
      <w:r>
        <w:rPr>
          <w:rFonts w:hint="eastAsia" w:ascii="仿宋_GB2312" w:hAnsi="宋体" w:eastAsia="仿宋_GB2312" w:cs="宋体"/>
          <w:kern w:val="0"/>
          <w:sz w:val="28"/>
          <w:szCs w:val="28"/>
        </w:rPr>
        <w:t>结合</w:t>
      </w:r>
      <w:bookmarkStart w:id="16" w:name="OLE_LINK17"/>
      <w:bookmarkStart w:id="17" w:name="OLE_LINK18"/>
      <w:r>
        <w:rPr>
          <w:rFonts w:hint="eastAsia" w:ascii="仿宋_GB2312" w:hAnsi="宋体" w:eastAsia="仿宋_GB2312" w:cs="宋体"/>
          <w:kern w:val="0"/>
          <w:sz w:val="28"/>
          <w:szCs w:val="28"/>
        </w:rPr>
        <w:t>本区域会员单位上报的典型案例及填报的调研问卷，按不同行业</w:t>
      </w:r>
      <w:bookmarkEnd w:id="16"/>
      <w:bookmarkEnd w:id="17"/>
      <w:r>
        <w:rPr>
          <w:rFonts w:hint="eastAsia" w:ascii="仿宋_GB2312" w:hAnsi="宋体" w:eastAsia="仿宋_GB2312" w:cs="宋体"/>
          <w:kern w:val="0"/>
          <w:sz w:val="28"/>
          <w:szCs w:val="28"/>
        </w:rPr>
        <w:t>，从工程特点、技术要求、管理模式等角度出发，梳理不同行业全过程工程咨询服务难点、适配短板、落地堵点、监管盲区等个性化突出问题。</w:t>
      </w:r>
    </w:p>
    <w:p w14:paraId="6F672C97">
      <w:pPr>
        <w:pStyle w:val="3"/>
        <w:spacing w:before="156" w:beforeLines="50" w:beforeAutospacing="0" w:after="156" w:afterLines="50" w:afterAutospacing="0" w:line="360" w:lineRule="auto"/>
        <w:ind w:firstLine="560" w:firstLineChars="200"/>
        <w:rPr>
          <w:rFonts w:ascii="黑体" w:hAnsi="黑体" w:eastAsia="黑体"/>
          <w:b w:val="0"/>
          <w:bCs w:val="0"/>
          <w:sz w:val="28"/>
          <w:szCs w:val="28"/>
        </w:rPr>
      </w:pPr>
      <w:r>
        <w:rPr>
          <w:rFonts w:hint="eastAsia" w:ascii="黑体" w:hAnsi="黑体" w:eastAsia="黑体"/>
          <w:b w:val="0"/>
          <w:bCs w:val="0"/>
          <w:sz w:val="28"/>
          <w:szCs w:val="28"/>
        </w:rPr>
        <w:t>3</w:t>
      </w:r>
      <w:r>
        <w:rPr>
          <w:rFonts w:ascii="黑体" w:hAnsi="黑体" w:eastAsia="黑体"/>
          <w:b w:val="0"/>
          <w:bCs w:val="0"/>
          <w:sz w:val="28"/>
          <w:szCs w:val="28"/>
        </w:rPr>
        <w:t xml:space="preserve">.3 </w:t>
      </w:r>
      <w:r>
        <w:rPr>
          <w:rFonts w:hint="eastAsia" w:ascii="黑体" w:hAnsi="黑体" w:eastAsia="黑体"/>
          <w:b w:val="0"/>
          <w:bCs w:val="0"/>
          <w:sz w:val="28"/>
          <w:szCs w:val="28"/>
        </w:rPr>
        <w:t>问题根源分析和影响研判</w:t>
      </w:r>
    </w:p>
    <w:p w14:paraId="277A240A">
      <w:pPr>
        <w:widowControl/>
        <w:adjustRightInd w:val="0"/>
        <w:snapToGrid w:val="0"/>
        <w:spacing w:line="360" w:lineRule="auto"/>
        <w:ind w:firstLine="560" w:firstLineChars="200"/>
        <w:jc w:val="left"/>
        <w:rPr>
          <w:rFonts w:ascii="仿宋_GB2312" w:hAnsi="宋体" w:eastAsia="仿宋_GB2312" w:cs="宋体"/>
          <w:kern w:val="0"/>
          <w:sz w:val="28"/>
          <w:szCs w:val="28"/>
        </w:rPr>
      </w:pPr>
      <w:r>
        <w:rPr>
          <w:rFonts w:hint="eastAsia" w:ascii="仿宋_GB2312" w:hAnsi="宋体" w:eastAsia="仿宋_GB2312" w:cs="宋体"/>
          <w:kern w:val="0"/>
          <w:sz w:val="28"/>
          <w:szCs w:val="28"/>
        </w:rPr>
        <w:t>从制度设计、市场机制、企业能力、行业特性等维度溯源问题成因，分析各类问题对</w:t>
      </w:r>
      <w:bookmarkStart w:id="18" w:name="OLE_LINK21"/>
      <w:r>
        <w:rPr>
          <w:rFonts w:hint="eastAsia" w:ascii="仿宋_GB2312" w:hAnsi="宋体" w:eastAsia="仿宋_GB2312" w:cs="宋体"/>
          <w:kern w:val="0"/>
          <w:sz w:val="28"/>
          <w:szCs w:val="28"/>
        </w:rPr>
        <w:t>本区域</w:t>
      </w:r>
      <w:bookmarkEnd w:id="18"/>
      <w:r>
        <w:rPr>
          <w:rFonts w:hint="eastAsia" w:ascii="仿宋_GB2312" w:hAnsi="宋体" w:eastAsia="仿宋_GB2312" w:cs="宋体"/>
          <w:kern w:val="0"/>
          <w:sz w:val="28"/>
          <w:szCs w:val="28"/>
        </w:rPr>
        <w:t>全过程工程咨询服务规范化发展、服务质量、工程建设成效、市场秩序的负面影响。</w:t>
      </w:r>
    </w:p>
    <w:p w14:paraId="75B8206C">
      <w:pPr>
        <w:pStyle w:val="2"/>
        <w:spacing w:before="0" w:after="0" w:line="360" w:lineRule="auto"/>
        <w:jc w:val="center"/>
        <w:rPr>
          <w:rFonts w:ascii="黑体" w:hAnsi="黑体" w:eastAsia="黑体" w:cs="宋体"/>
          <w:b w:val="0"/>
          <w:bCs w:val="0"/>
          <w:kern w:val="0"/>
          <w:sz w:val="28"/>
          <w:szCs w:val="28"/>
        </w:rPr>
      </w:pPr>
      <w:r>
        <w:rPr>
          <w:rFonts w:hint="eastAsia" w:ascii="黑体" w:hAnsi="黑体" w:eastAsia="黑体" w:cs="宋体"/>
          <w:b w:val="0"/>
          <w:bCs w:val="0"/>
          <w:kern w:val="0"/>
          <w:sz w:val="28"/>
          <w:szCs w:val="28"/>
        </w:rPr>
        <w:t xml:space="preserve">第四章 </w:t>
      </w:r>
      <w:r>
        <w:rPr>
          <w:rFonts w:ascii="黑体" w:hAnsi="黑体" w:eastAsia="黑体" w:cs="宋体"/>
          <w:b w:val="0"/>
          <w:kern w:val="0"/>
          <w:sz w:val="28"/>
          <w:szCs w:val="28"/>
        </w:rPr>
        <w:t>XXX</w:t>
      </w:r>
      <w:r>
        <w:rPr>
          <w:rFonts w:hint="eastAsia" w:ascii="黑体" w:hAnsi="黑体" w:eastAsia="黑体" w:cs="宋体"/>
          <w:b w:val="0"/>
          <w:kern w:val="0"/>
          <w:sz w:val="28"/>
          <w:szCs w:val="28"/>
        </w:rPr>
        <w:t>省</w:t>
      </w:r>
      <w:r>
        <w:rPr>
          <w:rFonts w:ascii="黑体" w:hAnsi="黑体" w:eastAsia="黑体" w:cs="宋体"/>
          <w:b w:val="0"/>
          <w:kern w:val="0"/>
          <w:sz w:val="28"/>
          <w:szCs w:val="28"/>
        </w:rPr>
        <w:t>/自治区/直辖市/计划单列市/新疆生产建设兵团</w:t>
      </w:r>
      <w:r>
        <w:rPr>
          <w:rFonts w:hint="eastAsia" w:ascii="黑体" w:hAnsi="黑体" w:eastAsia="黑体" w:cs="宋体"/>
          <w:b w:val="0"/>
          <w:bCs w:val="0"/>
          <w:kern w:val="0"/>
          <w:sz w:val="28"/>
          <w:szCs w:val="28"/>
        </w:rPr>
        <w:t>全过程工程咨询服务发展挑战与</w:t>
      </w:r>
      <w:r>
        <w:rPr>
          <w:rFonts w:ascii="黑体" w:hAnsi="黑体" w:eastAsia="黑体" w:cs="宋体"/>
          <w:b w:val="0"/>
          <w:bCs w:val="0"/>
          <w:kern w:val="0"/>
          <w:sz w:val="28"/>
          <w:szCs w:val="28"/>
        </w:rPr>
        <w:t>“十五五”</w:t>
      </w:r>
      <w:r>
        <w:rPr>
          <w:rFonts w:hint="eastAsia" w:ascii="黑体" w:hAnsi="黑体" w:eastAsia="黑体" w:cs="宋体"/>
          <w:b w:val="0"/>
          <w:bCs w:val="0"/>
          <w:kern w:val="0"/>
          <w:sz w:val="28"/>
          <w:szCs w:val="28"/>
        </w:rPr>
        <w:t>期间</w:t>
      </w:r>
      <w:r>
        <w:rPr>
          <w:rFonts w:ascii="黑体" w:hAnsi="黑体" w:eastAsia="黑体" w:cs="宋体"/>
          <w:b w:val="0"/>
          <w:bCs w:val="0"/>
          <w:kern w:val="0"/>
          <w:sz w:val="28"/>
          <w:szCs w:val="28"/>
        </w:rPr>
        <w:t>趋势预判</w:t>
      </w:r>
    </w:p>
    <w:p w14:paraId="09CFAB03">
      <w:pPr>
        <w:pStyle w:val="3"/>
        <w:spacing w:before="156" w:beforeLines="50" w:beforeAutospacing="0" w:after="156" w:afterLines="50" w:afterAutospacing="0" w:line="360" w:lineRule="auto"/>
        <w:ind w:firstLine="560" w:firstLineChars="200"/>
        <w:rPr>
          <w:rFonts w:ascii="黑体" w:hAnsi="黑体" w:eastAsia="黑体"/>
          <w:b w:val="0"/>
          <w:bCs w:val="0"/>
          <w:sz w:val="28"/>
          <w:szCs w:val="28"/>
        </w:rPr>
      </w:pPr>
      <w:r>
        <w:rPr>
          <w:rFonts w:hint="eastAsia" w:ascii="黑体" w:hAnsi="黑体" w:eastAsia="黑体"/>
          <w:b w:val="0"/>
          <w:bCs w:val="0"/>
          <w:sz w:val="28"/>
          <w:szCs w:val="28"/>
        </w:rPr>
        <w:t>4</w:t>
      </w:r>
      <w:r>
        <w:rPr>
          <w:rFonts w:ascii="黑体" w:hAnsi="黑体" w:eastAsia="黑体"/>
          <w:b w:val="0"/>
          <w:bCs w:val="0"/>
          <w:sz w:val="28"/>
          <w:szCs w:val="28"/>
        </w:rPr>
        <w:t>.1</w:t>
      </w:r>
      <w:r>
        <w:rPr>
          <w:rFonts w:hint="eastAsia" w:ascii="黑体" w:hAnsi="黑体" w:eastAsia="黑体"/>
          <w:b w:val="0"/>
          <w:bCs w:val="0"/>
          <w:sz w:val="28"/>
          <w:szCs w:val="28"/>
        </w:rPr>
        <w:t xml:space="preserve"> 当前发展挑战</w:t>
      </w:r>
    </w:p>
    <w:p w14:paraId="6B53D2EC">
      <w:pPr>
        <w:widowControl/>
        <w:adjustRightInd w:val="0"/>
        <w:snapToGrid w:val="0"/>
        <w:spacing w:line="360" w:lineRule="auto"/>
        <w:ind w:firstLine="560" w:firstLineChars="200"/>
        <w:jc w:val="left"/>
        <w:rPr>
          <w:rFonts w:ascii="仿宋_GB2312" w:hAnsi="宋体" w:eastAsia="仿宋_GB2312" w:cs="宋体"/>
          <w:kern w:val="0"/>
          <w:sz w:val="28"/>
          <w:szCs w:val="28"/>
        </w:rPr>
      </w:pPr>
      <w:r>
        <w:rPr>
          <w:rFonts w:hint="eastAsia" w:ascii="仿宋_GB2312" w:hAnsi="宋体" w:eastAsia="仿宋_GB2312" w:cs="宋体"/>
          <w:kern w:val="0"/>
          <w:sz w:val="28"/>
          <w:szCs w:val="28"/>
        </w:rPr>
        <w:t>系统总结制约本区域全过程工程咨询服务高质量发展的挑战，重点包括：传统业务转型压力、人才队伍结构性短板、数字化与AI技术落地壁垒、市场低价竞争与经营压力、行业标准适配滞后等关键问题。</w:t>
      </w:r>
    </w:p>
    <w:p w14:paraId="55B9EF21">
      <w:pPr>
        <w:pStyle w:val="3"/>
        <w:spacing w:before="156" w:beforeLines="50" w:beforeAutospacing="0" w:after="156" w:afterLines="50" w:afterAutospacing="0" w:line="360" w:lineRule="auto"/>
        <w:ind w:firstLine="560" w:firstLineChars="200"/>
        <w:rPr>
          <w:rFonts w:ascii="黑体" w:hAnsi="黑体" w:eastAsia="黑体"/>
          <w:b w:val="0"/>
          <w:bCs w:val="0"/>
          <w:sz w:val="28"/>
          <w:szCs w:val="28"/>
        </w:rPr>
      </w:pPr>
      <w:r>
        <w:rPr>
          <w:rFonts w:hint="eastAsia" w:ascii="黑体" w:hAnsi="黑体" w:eastAsia="黑体"/>
          <w:b w:val="0"/>
          <w:bCs w:val="0"/>
          <w:sz w:val="28"/>
          <w:szCs w:val="28"/>
        </w:rPr>
        <w:t>4</w:t>
      </w:r>
      <w:r>
        <w:rPr>
          <w:rFonts w:ascii="黑体" w:hAnsi="黑体" w:eastAsia="黑体"/>
          <w:b w:val="0"/>
          <w:bCs w:val="0"/>
          <w:sz w:val="28"/>
          <w:szCs w:val="28"/>
        </w:rPr>
        <w:t xml:space="preserve">.2 </w:t>
      </w:r>
      <w:r>
        <w:rPr>
          <w:rFonts w:hint="eastAsia" w:ascii="黑体" w:hAnsi="黑体" w:eastAsia="黑体"/>
          <w:b w:val="0"/>
          <w:bCs w:val="0"/>
          <w:sz w:val="28"/>
          <w:szCs w:val="28"/>
        </w:rPr>
        <w:t>“十五五”期间</w:t>
      </w:r>
      <w:r>
        <w:rPr>
          <w:rFonts w:hint="eastAsia" w:ascii="黑体" w:hAnsi="黑体" w:eastAsia="黑体"/>
          <w:b w:val="0"/>
          <w:sz w:val="28"/>
          <w:szCs w:val="28"/>
        </w:rPr>
        <w:t>全过程工程咨询服务</w:t>
      </w:r>
      <w:r>
        <w:rPr>
          <w:rFonts w:ascii="黑体" w:hAnsi="黑体" w:eastAsia="黑体"/>
          <w:b w:val="0"/>
          <w:bCs w:val="0"/>
          <w:sz w:val="28"/>
          <w:szCs w:val="28"/>
        </w:rPr>
        <w:t>发展趋势预判</w:t>
      </w:r>
    </w:p>
    <w:p w14:paraId="7DF3A964">
      <w:pPr>
        <w:widowControl/>
        <w:adjustRightInd w:val="0"/>
        <w:snapToGrid w:val="0"/>
        <w:spacing w:line="360" w:lineRule="auto"/>
        <w:ind w:firstLine="560" w:firstLineChars="200"/>
        <w:jc w:val="left"/>
        <w:rPr>
          <w:rFonts w:ascii="仿宋_GB2312" w:hAnsi="宋体" w:eastAsia="仿宋_GB2312" w:cs="宋体"/>
          <w:kern w:val="0"/>
          <w:sz w:val="28"/>
          <w:szCs w:val="28"/>
        </w:rPr>
      </w:pPr>
      <w:r>
        <w:rPr>
          <w:rFonts w:hint="eastAsia" w:ascii="仿宋_GB2312" w:hAnsi="宋体" w:eastAsia="仿宋_GB2312" w:cs="宋体"/>
          <w:kern w:val="0"/>
          <w:sz w:val="28"/>
          <w:szCs w:val="28"/>
        </w:rPr>
        <w:t>结合全过程工程咨询服务发展现状、数字化与AI赋能等新形势，研判本区域全过程工程咨询服务行业务升级、技术创新等新场景、新机遇、新赛道；重点预判本区域“十五五”期间全过程工程咨询服务政策导向、市场格局、业务结构、技术应用、人才体系的迭代升级方向。</w:t>
      </w:r>
    </w:p>
    <w:p w14:paraId="548DE365">
      <w:pPr>
        <w:pStyle w:val="2"/>
        <w:spacing w:before="0" w:after="0" w:line="360" w:lineRule="auto"/>
        <w:jc w:val="center"/>
        <w:rPr>
          <w:rFonts w:ascii="黑体" w:hAnsi="黑体" w:eastAsia="黑体" w:cs="宋体"/>
          <w:b w:val="0"/>
          <w:bCs w:val="0"/>
          <w:kern w:val="0"/>
          <w:sz w:val="28"/>
          <w:szCs w:val="28"/>
        </w:rPr>
      </w:pPr>
      <w:r>
        <w:rPr>
          <w:rFonts w:hint="eastAsia" w:ascii="黑体" w:hAnsi="黑体" w:eastAsia="黑体" w:cs="宋体"/>
          <w:b w:val="0"/>
          <w:bCs w:val="0"/>
          <w:kern w:val="0"/>
          <w:sz w:val="28"/>
          <w:szCs w:val="28"/>
        </w:rPr>
        <w:t xml:space="preserve">第五章 </w:t>
      </w:r>
      <w:r>
        <w:rPr>
          <w:rFonts w:ascii="黑体" w:hAnsi="黑体" w:eastAsia="黑体" w:cs="宋体"/>
          <w:b w:val="0"/>
          <w:kern w:val="0"/>
          <w:sz w:val="28"/>
          <w:szCs w:val="28"/>
        </w:rPr>
        <w:t>XXX</w:t>
      </w:r>
      <w:r>
        <w:rPr>
          <w:rFonts w:hint="eastAsia" w:ascii="黑体" w:hAnsi="黑体" w:eastAsia="黑体" w:cs="宋体"/>
          <w:b w:val="0"/>
          <w:kern w:val="0"/>
          <w:sz w:val="28"/>
          <w:szCs w:val="28"/>
        </w:rPr>
        <w:t>省</w:t>
      </w:r>
      <w:r>
        <w:rPr>
          <w:rFonts w:ascii="黑体" w:hAnsi="黑体" w:eastAsia="黑体" w:cs="宋体"/>
          <w:b w:val="0"/>
          <w:kern w:val="0"/>
          <w:sz w:val="28"/>
          <w:szCs w:val="28"/>
        </w:rPr>
        <w:t>/自治区/直辖市/计划单列市/新疆生产建设兵团</w:t>
      </w:r>
      <w:r>
        <w:rPr>
          <w:rFonts w:hint="eastAsia" w:ascii="黑体" w:hAnsi="黑体" w:eastAsia="黑体" w:cs="宋体"/>
          <w:b w:val="0"/>
          <w:bCs w:val="0"/>
          <w:kern w:val="0"/>
          <w:sz w:val="28"/>
          <w:szCs w:val="28"/>
        </w:rPr>
        <w:t>全过程工程咨询服务分层级优化对策建议</w:t>
      </w:r>
    </w:p>
    <w:p w14:paraId="3C769B06">
      <w:pPr>
        <w:pStyle w:val="3"/>
        <w:spacing w:before="156" w:beforeLines="50" w:beforeAutospacing="0" w:after="156" w:afterLines="50" w:afterAutospacing="0" w:line="360" w:lineRule="auto"/>
        <w:ind w:firstLine="560" w:firstLineChars="200"/>
        <w:rPr>
          <w:rFonts w:ascii="黑体" w:hAnsi="黑体" w:eastAsia="黑体"/>
          <w:b w:val="0"/>
          <w:bCs w:val="0"/>
          <w:sz w:val="28"/>
          <w:szCs w:val="28"/>
        </w:rPr>
      </w:pPr>
      <w:r>
        <w:rPr>
          <w:rFonts w:hint="eastAsia" w:ascii="黑体" w:hAnsi="黑体" w:eastAsia="黑体"/>
          <w:b w:val="0"/>
          <w:bCs w:val="0"/>
          <w:sz w:val="28"/>
          <w:szCs w:val="28"/>
        </w:rPr>
        <w:t>5</w:t>
      </w:r>
      <w:r>
        <w:rPr>
          <w:rFonts w:ascii="黑体" w:hAnsi="黑体" w:eastAsia="黑体"/>
          <w:b w:val="0"/>
          <w:bCs w:val="0"/>
          <w:sz w:val="28"/>
          <w:szCs w:val="28"/>
        </w:rPr>
        <w:t xml:space="preserve">.1 </w:t>
      </w:r>
      <w:r>
        <w:rPr>
          <w:rFonts w:hint="eastAsia" w:ascii="黑体" w:hAnsi="黑体" w:eastAsia="黑体"/>
          <w:b w:val="0"/>
          <w:bCs w:val="0"/>
          <w:sz w:val="28"/>
          <w:szCs w:val="28"/>
        </w:rPr>
        <w:t>国家层面：顶层政策与制度完善建议</w:t>
      </w:r>
    </w:p>
    <w:p w14:paraId="0BFDED2F">
      <w:pPr>
        <w:widowControl/>
        <w:adjustRightInd w:val="0"/>
        <w:snapToGrid w:val="0"/>
        <w:spacing w:line="360" w:lineRule="auto"/>
        <w:ind w:firstLine="560" w:firstLineChars="200"/>
        <w:jc w:val="left"/>
        <w:rPr>
          <w:rFonts w:ascii="仿宋_GB2312" w:hAnsi="宋体" w:eastAsia="仿宋_GB2312" w:cs="宋体"/>
          <w:kern w:val="0"/>
          <w:sz w:val="28"/>
          <w:szCs w:val="28"/>
        </w:rPr>
      </w:pPr>
      <w:r>
        <w:rPr>
          <w:rFonts w:hint="eastAsia" w:ascii="仿宋_GB2312" w:hAnsi="宋体" w:eastAsia="仿宋_GB2312" w:cs="宋体"/>
          <w:kern w:val="0"/>
          <w:sz w:val="28"/>
          <w:szCs w:val="28"/>
        </w:rPr>
        <w:t>从统一全咨服务标准、规范市场发包与计价规则、健全权责划分、完善信用监管、优化全咨服务准入与退出、建立全咨服务评价体系等顶层制度优化角度以及本区域全过程工程咨询服务突出问题角度，向国家行业主管部门提出建议。</w:t>
      </w:r>
    </w:p>
    <w:p w14:paraId="13785EC8">
      <w:pPr>
        <w:pStyle w:val="3"/>
        <w:spacing w:before="156" w:beforeLines="50" w:beforeAutospacing="0" w:after="156" w:afterLines="50" w:afterAutospacing="0" w:line="360" w:lineRule="auto"/>
        <w:ind w:firstLine="560" w:firstLineChars="200"/>
        <w:rPr>
          <w:rFonts w:ascii="黑体" w:hAnsi="黑体" w:eastAsia="黑体"/>
          <w:b w:val="0"/>
          <w:bCs w:val="0"/>
          <w:sz w:val="28"/>
          <w:szCs w:val="28"/>
        </w:rPr>
      </w:pPr>
      <w:r>
        <w:rPr>
          <w:rFonts w:hint="eastAsia" w:ascii="黑体" w:hAnsi="黑体" w:eastAsia="黑体"/>
          <w:b w:val="0"/>
          <w:bCs w:val="0"/>
          <w:sz w:val="28"/>
          <w:szCs w:val="28"/>
        </w:rPr>
        <w:t>5</w:t>
      </w:r>
      <w:r>
        <w:rPr>
          <w:rFonts w:ascii="黑体" w:hAnsi="黑体" w:eastAsia="黑体"/>
          <w:b w:val="0"/>
          <w:bCs w:val="0"/>
          <w:sz w:val="28"/>
          <w:szCs w:val="28"/>
        </w:rPr>
        <w:t xml:space="preserve">.2 </w:t>
      </w:r>
      <w:r>
        <w:rPr>
          <w:rFonts w:hint="eastAsia" w:ascii="黑体" w:hAnsi="黑体" w:eastAsia="黑体"/>
          <w:b w:val="0"/>
          <w:bCs w:val="0"/>
          <w:sz w:val="28"/>
          <w:szCs w:val="28"/>
        </w:rPr>
        <w:t>全咨服务模式层面：市场规范与服务自律建议</w:t>
      </w:r>
    </w:p>
    <w:p w14:paraId="3CCA5566">
      <w:pPr>
        <w:widowControl/>
        <w:adjustRightInd w:val="0"/>
        <w:snapToGrid w:val="0"/>
        <w:spacing w:line="360" w:lineRule="auto"/>
        <w:ind w:firstLine="560" w:firstLineChars="200"/>
        <w:jc w:val="left"/>
        <w:rPr>
          <w:rFonts w:ascii="仿宋_GB2312" w:hAnsi="宋体" w:eastAsia="仿宋_GB2312" w:cs="宋体"/>
          <w:kern w:val="0"/>
          <w:sz w:val="28"/>
          <w:szCs w:val="28"/>
        </w:rPr>
      </w:pPr>
      <w:r>
        <w:rPr>
          <w:rFonts w:hint="eastAsia" w:ascii="仿宋_GB2312" w:hAnsi="宋体" w:eastAsia="仿宋_GB2312" w:cs="宋体"/>
          <w:kern w:val="0"/>
          <w:sz w:val="28"/>
          <w:szCs w:val="28"/>
        </w:rPr>
        <w:t>从整治全咨服务乱象、完善细分服务标准、强化服务自律、搭建AI赋能平台、完善人才培养体系、规范全咨服务竞争秩序等角度，提出改进建议。</w:t>
      </w:r>
    </w:p>
    <w:p w14:paraId="64DD96EA">
      <w:pPr>
        <w:pStyle w:val="3"/>
        <w:spacing w:before="156" w:beforeLines="50" w:beforeAutospacing="0" w:after="156" w:afterLines="50" w:afterAutospacing="0" w:line="360" w:lineRule="auto"/>
        <w:ind w:firstLine="560" w:firstLineChars="200"/>
        <w:rPr>
          <w:rFonts w:ascii="黑体" w:hAnsi="黑体" w:eastAsia="黑体"/>
          <w:b w:val="0"/>
          <w:bCs w:val="0"/>
          <w:sz w:val="28"/>
          <w:szCs w:val="28"/>
        </w:rPr>
      </w:pPr>
      <w:r>
        <w:rPr>
          <w:rFonts w:hint="eastAsia" w:ascii="黑体" w:hAnsi="黑体" w:eastAsia="黑体"/>
          <w:b w:val="0"/>
          <w:bCs w:val="0"/>
          <w:sz w:val="28"/>
          <w:szCs w:val="28"/>
        </w:rPr>
        <w:t>5</w:t>
      </w:r>
      <w:r>
        <w:rPr>
          <w:rFonts w:ascii="黑体" w:hAnsi="黑体" w:eastAsia="黑体"/>
          <w:b w:val="0"/>
          <w:bCs w:val="0"/>
          <w:sz w:val="28"/>
          <w:szCs w:val="28"/>
        </w:rPr>
        <w:t xml:space="preserve">.3 </w:t>
      </w:r>
      <w:r>
        <w:rPr>
          <w:rFonts w:hint="eastAsia" w:ascii="黑体" w:hAnsi="黑体" w:eastAsia="黑体"/>
          <w:b w:val="0"/>
          <w:bCs w:val="0"/>
          <w:sz w:val="28"/>
          <w:szCs w:val="28"/>
        </w:rPr>
        <w:t>业主单位层面：规范发包与项目管控建议</w:t>
      </w:r>
    </w:p>
    <w:p w14:paraId="636BA696">
      <w:pPr>
        <w:widowControl/>
        <w:adjustRightInd w:val="0"/>
        <w:snapToGrid w:val="0"/>
        <w:spacing w:line="360" w:lineRule="auto"/>
        <w:ind w:firstLine="560" w:firstLineChars="200"/>
        <w:jc w:val="left"/>
        <w:rPr>
          <w:rFonts w:ascii="仿宋_GB2312" w:hAnsi="宋体" w:eastAsia="仿宋_GB2312" w:cs="宋体"/>
          <w:kern w:val="0"/>
          <w:sz w:val="28"/>
          <w:szCs w:val="28"/>
        </w:rPr>
      </w:pPr>
      <w:r>
        <w:rPr>
          <w:rFonts w:hint="eastAsia" w:ascii="仿宋_GB2312" w:hAnsi="宋体" w:eastAsia="仿宋_GB2312" w:cs="宋体"/>
          <w:kern w:val="0"/>
          <w:sz w:val="28"/>
          <w:szCs w:val="28"/>
        </w:rPr>
        <w:t>针对业主发包选型、招标遴选、授权管理、协同管控、履约评价等环节，提出规范实操、杜绝形式化全过程工程咨询服务的落地建议。</w:t>
      </w:r>
    </w:p>
    <w:p w14:paraId="72A1CF3C">
      <w:pPr>
        <w:pStyle w:val="3"/>
        <w:spacing w:before="156" w:beforeLines="50" w:beforeAutospacing="0" w:after="156" w:afterLines="50" w:afterAutospacing="0" w:line="360" w:lineRule="auto"/>
        <w:ind w:firstLine="560" w:firstLineChars="200"/>
        <w:rPr>
          <w:rFonts w:ascii="黑体" w:hAnsi="黑体" w:eastAsia="黑体"/>
          <w:b w:val="0"/>
          <w:bCs w:val="0"/>
          <w:sz w:val="28"/>
          <w:szCs w:val="28"/>
        </w:rPr>
      </w:pPr>
      <w:r>
        <w:rPr>
          <w:rFonts w:hint="eastAsia" w:ascii="黑体" w:hAnsi="黑体" w:eastAsia="黑体"/>
          <w:b w:val="0"/>
          <w:bCs w:val="0"/>
          <w:sz w:val="28"/>
          <w:szCs w:val="28"/>
        </w:rPr>
        <w:t>5</w:t>
      </w:r>
      <w:r>
        <w:rPr>
          <w:rFonts w:ascii="黑体" w:hAnsi="黑体" w:eastAsia="黑体"/>
          <w:b w:val="0"/>
          <w:bCs w:val="0"/>
          <w:sz w:val="28"/>
          <w:szCs w:val="28"/>
        </w:rPr>
        <w:t xml:space="preserve">.4 </w:t>
      </w:r>
      <w:r>
        <w:rPr>
          <w:rFonts w:hint="eastAsia" w:ascii="黑体" w:hAnsi="黑体" w:eastAsia="黑体"/>
          <w:b w:val="0"/>
          <w:bCs w:val="0"/>
          <w:sz w:val="28"/>
          <w:szCs w:val="28"/>
        </w:rPr>
        <w:t>咨询机构层面：能力提质与转型发展建议</w:t>
      </w:r>
    </w:p>
    <w:p w14:paraId="702C348A">
      <w:pPr>
        <w:widowControl/>
        <w:adjustRightInd w:val="0"/>
        <w:snapToGrid w:val="0"/>
        <w:spacing w:line="360" w:lineRule="auto"/>
        <w:ind w:firstLine="560" w:firstLineChars="200"/>
        <w:jc w:val="left"/>
        <w:rPr>
          <w:rFonts w:ascii="仿宋_GB2312" w:hAnsi="宋体" w:eastAsia="仿宋_GB2312" w:cs="宋体"/>
          <w:kern w:val="0"/>
          <w:sz w:val="28"/>
          <w:szCs w:val="28"/>
        </w:rPr>
      </w:pPr>
      <w:r>
        <w:rPr>
          <w:rFonts w:hint="eastAsia" w:ascii="仿宋_GB2312" w:hAnsi="宋体" w:eastAsia="仿宋_GB2312" w:cs="宋体"/>
          <w:kern w:val="0"/>
          <w:sz w:val="28"/>
          <w:szCs w:val="28"/>
        </w:rPr>
        <w:t>从引导咨询企业补齐全过程工程咨询服务全链条服务短板，优化人才队伍结构，加大科技创新、课题标准、软著专利、管理创新投入，推进数字化、大数据、人工智能技术深度落地，积极应对市场竞争、缓解经营压力等角度，提出提质增效、合规经营、转型发展的建议。</w:t>
      </w:r>
    </w:p>
    <w:p w14:paraId="051BAD47">
      <w:pPr>
        <w:pStyle w:val="3"/>
        <w:spacing w:before="156" w:beforeLines="50" w:beforeAutospacing="0" w:after="156" w:afterLines="50" w:afterAutospacing="0" w:line="360" w:lineRule="auto"/>
        <w:ind w:firstLine="560" w:firstLineChars="200"/>
        <w:rPr>
          <w:rFonts w:ascii="黑体" w:hAnsi="黑体" w:eastAsia="黑体"/>
          <w:b w:val="0"/>
          <w:bCs w:val="0"/>
          <w:sz w:val="28"/>
          <w:szCs w:val="28"/>
        </w:rPr>
      </w:pPr>
      <w:r>
        <w:rPr>
          <w:rFonts w:hint="eastAsia" w:ascii="黑体" w:hAnsi="黑体" w:eastAsia="黑体"/>
          <w:b w:val="0"/>
          <w:bCs w:val="0"/>
          <w:sz w:val="28"/>
          <w:szCs w:val="28"/>
        </w:rPr>
        <w:t>5</w:t>
      </w:r>
      <w:r>
        <w:rPr>
          <w:rFonts w:ascii="黑体" w:hAnsi="黑体" w:eastAsia="黑体"/>
          <w:b w:val="0"/>
          <w:bCs w:val="0"/>
          <w:sz w:val="28"/>
          <w:szCs w:val="28"/>
        </w:rPr>
        <w:t xml:space="preserve">.5 </w:t>
      </w:r>
      <w:r>
        <w:rPr>
          <w:rFonts w:hint="eastAsia" w:ascii="黑体" w:hAnsi="黑体" w:eastAsia="黑体"/>
          <w:b w:val="0"/>
          <w:bCs w:val="0"/>
          <w:sz w:val="28"/>
          <w:szCs w:val="28"/>
        </w:rPr>
        <w:t>分行业差异化发展建议</w:t>
      </w:r>
    </w:p>
    <w:p w14:paraId="662ED57D">
      <w:pPr>
        <w:widowControl/>
        <w:adjustRightInd w:val="0"/>
        <w:snapToGrid w:val="0"/>
        <w:spacing w:line="360" w:lineRule="auto"/>
        <w:ind w:firstLine="560" w:firstLineChars="200"/>
        <w:jc w:val="left"/>
        <w:rPr>
          <w:rFonts w:ascii="仿宋_GB2312" w:hAnsi="黑体" w:eastAsia="仿宋_GB2312" w:cs="宋体"/>
          <w:kern w:val="0"/>
          <w:sz w:val="28"/>
          <w:szCs w:val="28"/>
        </w:rPr>
      </w:pPr>
      <w:r>
        <w:rPr>
          <w:rFonts w:hint="eastAsia" w:ascii="仿宋_GB2312" w:hAnsi="黑体" w:eastAsia="仿宋_GB2312" w:cs="宋体"/>
          <w:kern w:val="0"/>
          <w:sz w:val="28"/>
          <w:szCs w:val="28"/>
        </w:rPr>
        <w:t>针对各行业全过程工程咨询服务个性化业务短板、技术瓶颈、人才缺口、数字化应用难点等问题，结合各类业务实操难点，提出精准适配的行业推广、模式优化、技术赋能、服务提质、风险防控、降本增效的差异化举措。</w:t>
      </w:r>
    </w:p>
    <w:p w14:paraId="5D3DC36D">
      <w:pPr>
        <w:pStyle w:val="2"/>
        <w:spacing w:before="0" w:after="0" w:line="360" w:lineRule="auto"/>
        <w:jc w:val="center"/>
        <w:rPr>
          <w:rFonts w:ascii="黑体" w:hAnsi="黑体" w:eastAsia="黑体" w:cs="宋体"/>
          <w:b w:val="0"/>
          <w:bCs w:val="0"/>
          <w:kern w:val="0"/>
          <w:sz w:val="28"/>
          <w:szCs w:val="28"/>
        </w:rPr>
      </w:pPr>
      <w:r>
        <w:rPr>
          <w:rFonts w:hint="eastAsia" w:ascii="黑体" w:hAnsi="黑体" w:eastAsia="黑体" w:cs="宋体"/>
          <w:b w:val="0"/>
          <w:bCs w:val="0"/>
          <w:kern w:val="0"/>
          <w:sz w:val="28"/>
          <w:szCs w:val="28"/>
        </w:rPr>
        <w:t>第六章 调研结论与工作展望</w:t>
      </w:r>
    </w:p>
    <w:p w14:paraId="408DDDED">
      <w:pPr>
        <w:pStyle w:val="3"/>
        <w:spacing w:before="156" w:beforeLines="50" w:beforeAutospacing="0" w:after="156" w:afterLines="50" w:afterAutospacing="0" w:line="360" w:lineRule="auto"/>
        <w:ind w:firstLine="560" w:firstLineChars="200"/>
        <w:rPr>
          <w:rFonts w:ascii="黑体" w:hAnsi="黑体" w:eastAsia="黑体"/>
          <w:b w:val="0"/>
          <w:bCs w:val="0"/>
          <w:sz w:val="28"/>
          <w:szCs w:val="28"/>
        </w:rPr>
      </w:pPr>
      <w:r>
        <w:rPr>
          <w:rFonts w:hint="eastAsia" w:ascii="黑体" w:hAnsi="黑体" w:eastAsia="黑体"/>
          <w:b w:val="0"/>
          <w:bCs w:val="0"/>
          <w:sz w:val="28"/>
          <w:szCs w:val="28"/>
        </w:rPr>
        <w:t>6</w:t>
      </w:r>
      <w:r>
        <w:rPr>
          <w:rFonts w:ascii="黑体" w:hAnsi="黑体" w:eastAsia="黑体"/>
          <w:b w:val="0"/>
          <w:bCs w:val="0"/>
          <w:sz w:val="28"/>
          <w:szCs w:val="28"/>
        </w:rPr>
        <w:t xml:space="preserve">.1 </w:t>
      </w:r>
      <w:r>
        <w:rPr>
          <w:rFonts w:hint="eastAsia" w:ascii="黑体" w:hAnsi="黑体" w:eastAsia="黑体"/>
          <w:b w:val="0"/>
          <w:bCs w:val="0"/>
          <w:sz w:val="28"/>
          <w:szCs w:val="28"/>
        </w:rPr>
        <w:t>调研结论</w:t>
      </w:r>
    </w:p>
    <w:p w14:paraId="13DE78F7">
      <w:pPr>
        <w:widowControl/>
        <w:adjustRightInd w:val="0"/>
        <w:snapToGrid w:val="0"/>
        <w:spacing w:line="360" w:lineRule="auto"/>
        <w:ind w:firstLine="560" w:firstLineChars="200"/>
        <w:jc w:val="left"/>
        <w:rPr>
          <w:rFonts w:ascii="仿宋_GB2312" w:hAnsi="宋体" w:eastAsia="仿宋_GB2312" w:cs="宋体"/>
          <w:kern w:val="0"/>
          <w:sz w:val="28"/>
          <w:szCs w:val="28"/>
        </w:rPr>
      </w:pPr>
      <w:r>
        <w:rPr>
          <w:rFonts w:hint="eastAsia" w:ascii="仿宋_GB2312" w:hAnsi="宋体" w:eastAsia="仿宋_GB2312" w:cs="宋体"/>
          <w:kern w:val="0"/>
          <w:sz w:val="28"/>
          <w:szCs w:val="28"/>
        </w:rPr>
        <w:t>凝练</w:t>
      </w:r>
      <w:bookmarkStart w:id="19" w:name="OLE_LINK27"/>
      <w:bookmarkStart w:id="20" w:name="OLE_LINK28"/>
      <w:r>
        <w:rPr>
          <w:rFonts w:hint="eastAsia" w:ascii="仿宋_GB2312" w:hAnsi="宋体" w:eastAsia="仿宋_GB2312" w:cs="宋体"/>
          <w:kern w:val="0"/>
          <w:sz w:val="28"/>
          <w:szCs w:val="28"/>
        </w:rPr>
        <w:t>本区域</w:t>
      </w:r>
      <w:bookmarkEnd w:id="19"/>
      <w:bookmarkEnd w:id="20"/>
      <w:r>
        <w:rPr>
          <w:rFonts w:hint="eastAsia" w:ascii="仿宋_GB2312" w:hAnsi="宋体" w:eastAsia="仿宋_GB2312" w:cs="宋体"/>
          <w:kern w:val="0"/>
          <w:sz w:val="28"/>
          <w:szCs w:val="28"/>
        </w:rPr>
        <w:t>全过程工程咨询服务整体发展态势、业务结构变化、人才与科创发展现状、市场竞争特征、共性与个性难点、模式适配规律、“十五五”期间发展趋势与挑战，形成支撑行业主管部门决策的结论与问题总览。</w:t>
      </w:r>
    </w:p>
    <w:p w14:paraId="109AD9B3">
      <w:pPr>
        <w:pStyle w:val="3"/>
        <w:spacing w:before="156" w:beforeLines="50" w:beforeAutospacing="0" w:after="156" w:afterLines="50" w:afterAutospacing="0" w:line="360" w:lineRule="auto"/>
        <w:ind w:firstLine="560" w:firstLineChars="200"/>
        <w:rPr>
          <w:rFonts w:ascii="黑体" w:hAnsi="黑体" w:eastAsia="黑体"/>
          <w:b w:val="0"/>
          <w:bCs w:val="0"/>
          <w:sz w:val="28"/>
          <w:szCs w:val="28"/>
        </w:rPr>
      </w:pPr>
      <w:r>
        <w:rPr>
          <w:rFonts w:hint="eastAsia" w:ascii="黑体" w:hAnsi="黑体" w:eastAsia="黑体"/>
          <w:b w:val="0"/>
          <w:bCs w:val="0"/>
          <w:sz w:val="28"/>
          <w:szCs w:val="28"/>
        </w:rPr>
        <w:t>6</w:t>
      </w:r>
      <w:r>
        <w:rPr>
          <w:rFonts w:ascii="黑体" w:hAnsi="黑体" w:eastAsia="黑体"/>
          <w:b w:val="0"/>
          <w:bCs w:val="0"/>
          <w:sz w:val="28"/>
          <w:szCs w:val="28"/>
        </w:rPr>
        <w:t xml:space="preserve">.2 </w:t>
      </w:r>
      <w:r>
        <w:rPr>
          <w:rFonts w:hint="eastAsia" w:ascii="黑体" w:hAnsi="黑体" w:eastAsia="黑体"/>
          <w:b w:val="0"/>
          <w:bCs w:val="0"/>
          <w:sz w:val="28"/>
          <w:szCs w:val="28"/>
        </w:rPr>
        <w:t>全咨服务发展工作展望</w:t>
      </w:r>
    </w:p>
    <w:p w14:paraId="193671B1">
      <w:pPr>
        <w:widowControl/>
        <w:adjustRightInd w:val="0"/>
        <w:snapToGrid w:val="0"/>
        <w:spacing w:line="360" w:lineRule="auto"/>
        <w:ind w:firstLine="560" w:firstLineChars="200"/>
        <w:jc w:val="left"/>
        <w:rPr>
          <w:rFonts w:ascii="仿宋_GB2312" w:hAnsi="宋体" w:eastAsia="仿宋_GB2312" w:cs="宋体"/>
          <w:kern w:val="0"/>
          <w:sz w:val="28"/>
          <w:szCs w:val="28"/>
        </w:rPr>
      </w:pPr>
      <w:r>
        <w:rPr>
          <w:rFonts w:hint="eastAsia" w:ascii="仿宋_GB2312" w:hAnsi="宋体" w:eastAsia="仿宋_GB2312" w:cs="宋体"/>
          <w:kern w:val="0"/>
          <w:sz w:val="28"/>
          <w:szCs w:val="28"/>
        </w:rPr>
        <w:t>明确本区域工程咨询协会后续常态化调研、标准宣贯、人才培训、案例推广、服务自律、对接地方主管部门等长效工作计划与展望。</w:t>
      </w:r>
    </w:p>
    <w:p w14:paraId="53A5131D">
      <w:pPr>
        <w:widowControl/>
        <w:adjustRightInd w:val="0"/>
        <w:snapToGrid w:val="0"/>
        <w:spacing w:line="360" w:lineRule="auto"/>
        <w:ind w:firstLine="560" w:firstLineChars="200"/>
        <w:jc w:val="left"/>
        <w:rPr>
          <w:rFonts w:ascii="方正仿宋_GB2312" w:hAnsi="宋体" w:eastAsia="方正仿宋_GB2312" w:cs="宋体"/>
          <w:kern w:val="0"/>
          <w:sz w:val="28"/>
          <w:szCs w:val="28"/>
        </w:rPr>
      </w:pPr>
    </w:p>
    <w:p w14:paraId="7FAA2B78">
      <w:pPr>
        <w:widowControl/>
        <w:adjustRightInd w:val="0"/>
        <w:snapToGrid w:val="0"/>
        <w:spacing w:line="360" w:lineRule="auto"/>
        <w:ind w:firstLine="560" w:firstLineChars="200"/>
        <w:jc w:val="left"/>
        <w:rPr>
          <w:rFonts w:ascii="仿宋_GB2312" w:hAnsi="宋体" w:eastAsia="仿宋_GB2312" w:cs="宋体"/>
          <w:kern w:val="0"/>
          <w:sz w:val="28"/>
          <w:szCs w:val="28"/>
        </w:rPr>
      </w:pPr>
      <w:r>
        <w:rPr>
          <w:rFonts w:hint="eastAsia" w:ascii="仿宋_GB2312" w:hAnsi="宋体" w:eastAsia="仿宋_GB2312" w:cs="宋体"/>
          <w:kern w:val="0"/>
          <w:sz w:val="28"/>
          <w:szCs w:val="28"/>
        </w:rPr>
        <w:t>附件：典型案例目录</w:t>
      </w:r>
    </w:p>
    <w:sectPr>
      <w:footerReference r:id="rId3" w:type="default"/>
      <w:pgSz w:w="11906" w:h="16838"/>
      <w:pgMar w:top="1440" w:right="1797" w:bottom="1440" w:left="179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C97F079-9763-4ACD-A11A-49CE997FAC9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8E150246-6814-483D-AFA2-52DE11E67A50}"/>
  </w:font>
  <w:font w:name="方正小标宋_GBK">
    <w:panose1 w:val="02000000000000000000"/>
    <w:charset w:val="86"/>
    <w:family w:val="auto"/>
    <w:pitch w:val="default"/>
    <w:sig w:usb0="A00002BF" w:usb1="38CF7CFA" w:usb2="00082016" w:usb3="00000000" w:csb0="00040001" w:csb1="00000000"/>
  </w:font>
  <w:font w:name="华文楷体">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embedRegular r:id="rId3" w:fontKey="{D19EB6BA-5AF6-4964-8752-E7EB84D2AAB6}"/>
  </w:font>
  <w:font w:name="方正仿宋_GB2312">
    <w:panose1 w:val="02000000000000000000"/>
    <w:charset w:val="86"/>
    <w:family w:val="auto"/>
    <w:pitch w:val="default"/>
    <w:sig w:usb0="A00002BF" w:usb1="184F6CFA" w:usb2="00000012" w:usb3="00000000" w:csb0="00040001" w:csb1="00000000"/>
    <w:embedRegular r:id="rId4" w:fontKey="{36CD0F1C-5090-42D9-9945-03C2199CBEB9}"/>
  </w:font>
  <w:font w:name="Segoe UI Symbol">
    <w:panose1 w:val="020B0502040204020203"/>
    <w:charset w:val="00"/>
    <w:family w:val="swiss"/>
    <w:pitch w:val="default"/>
    <w:sig w:usb0="800001E3" w:usb1="1200FFEF" w:usb2="00040000" w:usb3="04000000" w:csb0="00000001" w:csb1="40000000"/>
    <w:embedRegular r:id="rId5" w:fontKey="{558589B3-FE00-4E4C-9952-B2645293FE1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00728632"/>
    </w:sdtPr>
    <w:sdtContent>
      <w:p w14:paraId="11A06E7F">
        <w:pPr>
          <w:pStyle w:val="7"/>
          <w:jc w:val="center"/>
        </w:pPr>
        <w:r>
          <w:fldChar w:fldCharType="begin"/>
        </w:r>
        <w:r>
          <w:instrText xml:space="preserve">PAGE   \* MERGEFORMAT</w:instrText>
        </w:r>
        <w:r>
          <w:fldChar w:fldCharType="separate"/>
        </w:r>
        <w:r>
          <w:rPr>
            <w:lang w:val="zh-CN"/>
          </w:rPr>
          <w:t>-</w:t>
        </w:r>
        <w:r>
          <w:t xml:space="preserve"> 3 -</w:t>
        </w:r>
        <w:r>
          <w:fldChar w:fldCharType="end"/>
        </w:r>
      </w:p>
    </w:sdtContent>
  </w:sdt>
  <w:p w14:paraId="6F5F76D9">
    <w:pPr>
      <w:pStyle w:val="7"/>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2"/>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011A"/>
    <w:rsid w:val="00014786"/>
    <w:rsid w:val="0004273D"/>
    <w:rsid w:val="00097CC1"/>
    <w:rsid w:val="000A37A3"/>
    <w:rsid w:val="0014606B"/>
    <w:rsid w:val="0014795F"/>
    <w:rsid w:val="0019642E"/>
    <w:rsid w:val="001A410E"/>
    <w:rsid w:val="001C52FC"/>
    <w:rsid w:val="002542C4"/>
    <w:rsid w:val="0029675E"/>
    <w:rsid w:val="003110B4"/>
    <w:rsid w:val="00355DC6"/>
    <w:rsid w:val="00371C85"/>
    <w:rsid w:val="00374F51"/>
    <w:rsid w:val="00375485"/>
    <w:rsid w:val="00386723"/>
    <w:rsid w:val="003A70AC"/>
    <w:rsid w:val="003F32D5"/>
    <w:rsid w:val="004005CF"/>
    <w:rsid w:val="004419E0"/>
    <w:rsid w:val="00462C39"/>
    <w:rsid w:val="004B559C"/>
    <w:rsid w:val="004C7F49"/>
    <w:rsid w:val="00505B58"/>
    <w:rsid w:val="00510A92"/>
    <w:rsid w:val="0051312E"/>
    <w:rsid w:val="00535C0B"/>
    <w:rsid w:val="00554401"/>
    <w:rsid w:val="00554ED8"/>
    <w:rsid w:val="0056752A"/>
    <w:rsid w:val="00583470"/>
    <w:rsid w:val="005B123A"/>
    <w:rsid w:val="005D261C"/>
    <w:rsid w:val="006757D0"/>
    <w:rsid w:val="0069321F"/>
    <w:rsid w:val="006B6CEF"/>
    <w:rsid w:val="006D43F9"/>
    <w:rsid w:val="0071084E"/>
    <w:rsid w:val="00760A84"/>
    <w:rsid w:val="00776B2B"/>
    <w:rsid w:val="007A4BA9"/>
    <w:rsid w:val="007C77B3"/>
    <w:rsid w:val="008145B8"/>
    <w:rsid w:val="00816868"/>
    <w:rsid w:val="00851DE0"/>
    <w:rsid w:val="00893FB1"/>
    <w:rsid w:val="0091008D"/>
    <w:rsid w:val="0091075F"/>
    <w:rsid w:val="00963196"/>
    <w:rsid w:val="009631A6"/>
    <w:rsid w:val="009778C0"/>
    <w:rsid w:val="00A2228C"/>
    <w:rsid w:val="00A9336A"/>
    <w:rsid w:val="00AA7A2C"/>
    <w:rsid w:val="00B06A23"/>
    <w:rsid w:val="00BB6690"/>
    <w:rsid w:val="00BE6C6A"/>
    <w:rsid w:val="00C2027E"/>
    <w:rsid w:val="00C3766E"/>
    <w:rsid w:val="00CB0AFA"/>
    <w:rsid w:val="00CF4681"/>
    <w:rsid w:val="00D1011A"/>
    <w:rsid w:val="00D71907"/>
    <w:rsid w:val="00D91883"/>
    <w:rsid w:val="00DC4E85"/>
    <w:rsid w:val="00DE51D4"/>
    <w:rsid w:val="00DE6FB9"/>
    <w:rsid w:val="00E05D39"/>
    <w:rsid w:val="00E617FF"/>
    <w:rsid w:val="00E97159"/>
    <w:rsid w:val="00ED3356"/>
    <w:rsid w:val="00EE7FC2"/>
    <w:rsid w:val="00F57176"/>
    <w:rsid w:val="00F726DB"/>
    <w:rsid w:val="00F959D1"/>
    <w:rsid w:val="00FD1AB3"/>
    <w:rsid w:val="04BB0C52"/>
    <w:rsid w:val="09DE4A06"/>
    <w:rsid w:val="0C676AEA"/>
    <w:rsid w:val="10E00F72"/>
    <w:rsid w:val="119E47AE"/>
    <w:rsid w:val="1A54725F"/>
    <w:rsid w:val="1A614927"/>
    <w:rsid w:val="28891D27"/>
    <w:rsid w:val="33524E1A"/>
    <w:rsid w:val="34BB3EE6"/>
    <w:rsid w:val="368B6BB2"/>
    <w:rsid w:val="3C967432"/>
    <w:rsid w:val="46F05B11"/>
    <w:rsid w:val="4A070E34"/>
    <w:rsid w:val="4B455B81"/>
    <w:rsid w:val="4D002EC4"/>
    <w:rsid w:val="51A85F16"/>
    <w:rsid w:val="77C30785"/>
    <w:rsid w:val="796751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paragraph" w:styleId="3">
    <w:name w:val="heading 2"/>
    <w:basedOn w:val="1"/>
    <w:link w:val="14"/>
    <w:qFormat/>
    <w:uiPriority w:val="9"/>
    <w:pPr>
      <w:widowControl/>
      <w:spacing w:before="100" w:beforeAutospacing="1" w:after="100" w:afterAutospacing="1"/>
      <w:jc w:val="left"/>
      <w:outlineLvl w:val="1"/>
    </w:pPr>
    <w:rPr>
      <w:rFonts w:ascii="宋体" w:hAnsi="宋体" w:eastAsia="宋体" w:cs="宋体"/>
      <w:b/>
      <w:bCs/>
      <w:kern w:val="0"/>
      <w:sz w:val="36"/>
      <w:szCs w:val="36"/>
    </w:rPr>
  </w:style>
  <w:style w:type="paragraph" w:styleId="4">
    <w:name w:val="heading 3"/>
    <w:basedOn w:val="1"/>
    <w:link w:val="15"/>
    <w:qFormat/>
    <w:uiPriority w:val="9"/>
    <w:pPr>
      <w:widowControl/>
      <w:spacing w:before="100" w:beforeAutospacing="1" w:after="100" w:afterAutospacing="1"/>
      <w:jc w:val="left"/>
      <w:outlineLvl w:val="2"/>
    </w:pPr>
    <w:rPr>
      <w:rFonts w:ascii="宋体" w:hAnsi="宋体" w:eastAsia="宋体" w:cs="宋体"/>
      <w:b/>
      <w:bCs/>
      <w:kern w:val="0"/>
      <w:sz w:val="27"/>
      <w:szCs w:val="27"/>
    </w:rPr>
  </w:style>
  <w:style w:type="character" w:default="1" w:styleId="10">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semiHidden/>
    <w:unhideWhenUsed/>
    <w:qFormat/>
    <w:uiPriority w:val="99"/>
    <w:pPr>
      <w:jc w:val="left"/>
    </w:pPr>
  </w:style>
  <w:style w:type="paragraph" w:styleId="6">
    <w:name w:val="Balloon Text"/>
    <w:basedOn w:val="1"/>
    <w:link w:val="17"/>
    <w:semiHidden/>
    <w:unhideWhenUsed/>
    <w:qFormat/>
    <w:uiPriority w:val="99"/>
    <w:rPr>
      <w:sz w:val="18"/>
      <w:szCs w:val="18"/>
    </w:rPr>
  </w:style>
  <w:style w:type="paragraph" w:styleId="7">
    <w:name w:val="footer"/>
    <w:basedOn w:val="1"/>
    <w:link w:val="13"/>
    <w:unhideWhenUsed/>
    <w:qFormat/>
    <w:uiPriority w:val="99"/>
    <w:pPr>
      <w:tabs>
        <w:tab w:val="center" w:pos="4153"/>
        <w:tab w:val="right" w:pos="8306"/>
      </w:tabs>
      <w:snapToGrid w:val="0"/>
      <w:jc w:val="left"/>
    </w:pPr>
    <w:rPr>
      <w:sz w:val="18"/>
      <w:szCs w:val="18"/>
    </w:rPr>
  </w:style>
  <w:style w:type="paragraph" w:styleId="8">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character" w:styleId="11">
    <w:name w:val="annotation reference"/>
    <w:basedOn w:val="10"/>
    <w:semiHidden/>
    <w:unhideWhenUsed/>
    <w:qFormat/>
    <w:uiPriority w:val="99"/>
    <w:rPr>
      <w:sz w:val="21"/>
      <w:szCs w:val="21"/>
    </w:rPr>
  </w:style>
  <w:style w:type="character" w:customStyle="1" w:styleId="12">
    <w:name w:val="页眉 字符"/>
    <w:basedOn w:val="10"/>
    <w:link w:val="8"/>
    <w:qFormat/>
    <w:uiPriority w:val="99"/>
    <w:rPr>
      <w:sz w:val="18"/>
      <w:szCs w:val="18"/>
    </w:rPr>
  </w:style>
  <w:style w:type="character" w:customStyle="1" w:styleId="13">
    <w:name w:val="页脚 字符"/>
    <w:basedOn w:val="10"/>
    <w:link w:val="7"/>
    <w:qFormat/>
    <w:uiPriority w:val="99"/>
    <w:rPr>
      <w:sz w:val="18"/>
      <w:szCs w:val="18"/>
    </w:rPr>
  </w:style>
  <w:style w:type="character" w:customStyle="1" w:styleId="14">
    <w:name w:val="标题 2 字符"/>
    <w:basedOn w:val="10"/>
    <w:link w:val="3"/>
    <w:qFormat/>
    <w:uiPriority w:val="9"/>
    <w:rPr>
      <w:rFonts w:ascii="宋体" w:hAnsi="宋体" w:eastAsia="宋体" w:cs="宋体"/>
      <w:b/>
      <w:bCs/>
      <w:kern w:val="0"/>
      <w:sz w:val="36"/>
      <w:szCs w:val="36"/>
    </w:rPr>
  </w:style>
  <w:style w:type="character" w:customStyle="1" w:styleId="15">
    <w:name w:val="标题 3 字符"/>
    <w:basedOn w:val="10"/>
    <w:link w:val="4"/>
    <w:qFormat/>
    <w:uiPriority w:val="9"/>
    <w:rPr>
      <w:rFonts w:ascii="宋体" w:hAnsi="宋体" w:eastAsia="宋体" w:cs="宋体"/>
      <w:b/>
      <w:bCs/>
      <w:kern w:val="0"/>
      <w:sz w:val="27"/>
      <w:szCs w:val="27"/>
    </w:rPr>
  </w:style>
  <w:style w:type="character" w:customStyle="1" w:styleId="16">
    <w:name w:val="标题 1 字符"/>
    <w:basedOn w:val="10"/>
    <w:link w:val="2"/>
    <w:qFormat/>
    <w:uiPriority w:val="9"/>
    <w:rPr>
      <w:b/>
      <w:bCs/>
      <w:kern w:val="44"/>
      <w:sz w:val="44"/>
      <w:szCs w:val="44"/>
    </w:rPr>
  </w:style>
  <w:style w:type="character" w:customStyle="1" w:styleId="17">
    <w:name w:val="批注框文本 字符"/>
    <w:basedOn w:val="10"/>
    <w:link w:val="6"/>
    <w:semiHidden/>
    <w:qFormat/>
    <w:uiPriority w:val="99"/>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3021</Words>
  <Characters>3098</Characters>
  <Lines>22</Lines>
  <Paragraphs>6</Paragraphs>
  <TotalTime>59</TotalTime>
  <ScaleCrop>false</ScaleCrop>
  <LinksUpToDate>false</LinksUpToDate>
  <CharactersWithSpaces>3127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2026-08-04T07:00:00Z</dcterms:created>
  <dc:creator>刘伟</dc:creator>
  <cp:lastModifiedBy>杨巍</cp:lastModifiedBy>
  <cp:lastPrinted>2026-09-22T01:41:19Z</cp:lastPrinted>
  <dcterms:modified xsi:type="dcterms:W3CDTF">2026-09-22T06:07:58Z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eyJoZGlkIjoiMDE1YWViOTg3YTAzZTkyZjI0NjQyODYyZmRiMGZkMTEiLCJ1c2VySWQiOiIxMjEyMTE1MiJ9</vt:lpwstr>
  </property>
  <property fmtid="{D5CDD505-2E9C-101B-9397-08002B2CF9AE}" pid="3" name="KSOProductBuildVer">
    <vt:lpwstr>2052-12.1.0.28505</vt:lpwstr>
  </property>
  <property fmtid="{D5CDD505-2E9C-101B-9397-08002B2CF9AE}" pid="4" name="ICV">
    <vt:lpwstr>8458195DFDE9407F8BF9CDFEF482612B_13</vt:lpwstr>
  </property>
</Properties>
</file>