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20AA00">
      <w:pPr>
        <w:spacing w:before="156" w:beforeLines="50" w:after="156" w:afterLines="50"/>
        <w:jc w:val="both"/>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附件2</w:t>
      </w:r>
    </w:p>
    <w:p w14:paraId="34B39572">
      <w:pPr>
        <w:spacing w:before="156" w:beforeLines="50" w:after="156" w:afterLines="50"/>
        <w:jc w:val="both"/>
        <w:rPr>
          <w:rFonts w:hint="eastAsia" w:ascii="宋体" w:hAnsi="宋体" w:eastAsia="宋体" w:cs="宋体"/>
          <w:sz w:val="32"/>
          <w:szCs w:val="32"/>
          <w:lang w:val="en-US" w:eastAsia="zh-CN"/>
        </w:rPr>
      </w:pPr>
      <w:bookmarkStart w:id="2" w:name="_GoBack"/>
      <w:bookmarkEnd w:id="2"/>
    </w:p>
    <w:p w14:paraId="10B8CC9D">
      <w:pPr>
        <w:spacing w:before="156" w:beforeLines="50" w:after="156" w:afterLines="50"/>
        <w:jc w:val="center"/>
        <w:rPr>
          <w:rFonts w:ascii="黑体" w:hAnsi="黑体" w:eastAsia="黑体"/>
          <w:sz w:val="36"/>
          <w:szCs w:val="36"/>
        </w:rPr>
      </w:pPr>
      <w:r>
        <w:rPr>
          <w:rFonts w:hint="eastAsia" w:ascii="黑体" w:hAnsi="黑体" w:eastAsia="黑体"/>
          <w:sz w:val="36"/>
          <w:szCs w:val="36"/>
        </w:rPr>
        <w:t>全过程工程咨询服务典型案例编制大纲及编写要求</w:t>
      </w:r>
    </w:p>
    <w:p w14:paraId="163D5C91">
      <w:pPr>
        <w:ind w:firstLine="560" w:firstLineChars="200"/>
        <w:rPr>
          <w:rFonts w:ascii="黑体" w:hAnsi="黑体" w:eastAsia="黑体"/>
          <w:sz w:val="28"/>
          <w:szCs w:val="28"/>
        </w:rPr>
      </w:pPr>
      <w:r>
        <w:rPr>
          <w:rFonts w:hint="eastAsia" w:ascii="黑体" w:hAnsi="黑体" w:eastAsia="黑体"/>
          <w:sz w:val="28"/>
          <w:szCs w:val="28"/>
        </w:rPr>
        <w:t>一、总体编制原则</w:t>
      </w:r>
    </w:p>
    <w:p w14:paraId="363C06A0">
      <w:pPr>
        <w:ind w:firstLine="560" w:firstLineChars="200"/>
        <w:rPr>
          <w:rFonts w:ascii="仿宋_GB2312" w:eastAsia="仿宋_GB2312"/>
          <w:sz w:val="28"/>
          <w:szCs w:val="28"/>
        </w:rPr>
      </w:pPr>
      <w:r>
        <w:rPr>
          <w:rFonts w:hint="eastAsia" w:ascii="仿宋_GB2312" w:eastAsia="仿宋_GB2312"/>
          <w:sz w:val="28"/>
          <w:szCs w:val="28"/>
        </w:rPr>
        <w:t>本案例用于中国工程咨询协会全过程工程咨询服务发展情况调研，可作为典型案例汇编、行业推广等，</w:t>
      </w:r>
      <w:r>
        <w:rPr>
          <w:rFonts w:hint="eastAsia" w:ascii="仿宋_GB2312" w:hAnsi="宋体" w:eastAsia="仿宋_GB2312" w:cs="宋体"/>
          <w:kern w:val="0"/>
          <w:sz w:val="28"/>
          <w:szCs w:val="28"/>
        </w:rPr>
        <w:t>按不同行业、归集全过程工程咨询服务标杆项目与优秀企业案例，实现场景全覆盖。</w:t>
      </w:r>
    </w:p>
    <w:p w14:paraId="279BAE83">
      <w:pPr>
        <w:spacing w:before="156" w:beforeLines="50" w:after="156" w:afterLines="50"/>
        <w:ind w:firstLine="560" w:firstLineChars="200"/>
        <w:rPr>
          <w:rFonts w:ascii="仿宋_GB2312" w:eastAsia="仿宋_GB2312"/>
          <w:sz w:val="28"/>
          <w:szCs w:val="28"/>
        </w:rPr>
      </w:pPr>
      <w:r>
        <w:rPr>
          <w:rFonts w:hint="eastAsia" w:ascii="仿宋_GB2312" w:eastAsia="仿宋_GB2312"/>
          <w:sz w:val="28"/>
          <w:szCs w:val="28"/>
        </w:rPr>
        <w:t>案例编写原则包括并不限于以下：</w:t>
      </w:r>
    </w:p>
    <w:p w14:paraId="70DCDF32">
      <w:pPr>
        <w:widowControl/>
        <w:adjustRightInd w:val="0"/>
        <w:snapToGrid w:val="0"/>
        <w:spacing w:line="360" w:lineRule="auto"/>
        <w:ind w:firstLine="560" w:firstLineChars="200"/>
        <w:jc w:val="left"/>
        <w:rPr>
          <w:rFonts w:ascii="仿宋_GB2312" w:hAnsi="宋体" w:eastAsia="仿宋_GB2312" w:cs="宋体"/>
          <w:kern w:val="0"/>
          <w:sz w:val="28"/>
          <w:szCs w:val="28"/>
        </w:rPr>
      </w:pPr>
      <w:r>
        <w:rPr>
          <w:rFonts w:hint="eastAsia" w:ascii="仿宋_GB2312" w:hAnsi="宋体" w:eastAsia="仿宋_GB2312" w:cs="宋体"/>
          <w:kern w:val="0"/>
          <w:sz w:val="28"/>
          <w:szCs w:val="28"/>
        </w:rPr>
        <w:t>选取本区域从事全过程工程咨询服务会员单位，按不同行业、归集全过程工程咨询服务标杆项目与优秀企业案例，实现场景全覆盖。</w:t>
      </w:r>
    </w:p>
    <w:p w14:paraId="25B28A50">
      <w:pPr>
        <w:spacing w:before="156" w:beforeLines="50" w:after="156" w:afterLines="50"/>
        <w:ind w:firstLine="720" w:firstLineChars="300"/>
        <w:rPr>
          <w:rFonts w:ascii="黑体" w:hAnsi="黑体" w:eastAsia="黑体"/>
          <w:sz w:val="24"/>
          <w:szCs w:val="24"/>
        </w:rPr>
      </w:pPr>
      <w:r>
        <w:rPr>
          <w:rFonts w:hint="eastAsia" w:ascii="黑体" w:hAnsi="黑体" w:eastAsia="黑体" w:cs="宋体"/>
          <w:kern w:val="0"/>
          <w:sz w:val="24"/>
          <w:szCs w:val="24"/>
        </w:rPr>
        <w:t>注:</w:t>
      </w:r>
      <w:r>
        <w:rPr>
          <w:rFonts w:hint="eastAsia" w:ascii="黑体" w:hAnsi="黑体" w:eastAsia="黑体"/>
          <w:sz w:val="24"/>
          <w:szCs w:val="24"/>
        </w:rPr>
        <w:t xml:space="preserve"> </w:t>
      </w:r>
      <w:r>
        <w:rPr>
          <w:rFonts w:hint="eastAsia" w:ascii="黑体" w:hAnsi="黑体" w:eastAsia="黑体" w:cs="宋体"/>
          <w:kern w:val="0"/>
          <w:sz w:val="24"/>
          <w:szCs w:val="24"/>
        </w:rPr>
        <w:t>每个地方协会提交案例应覆盖不少于2个行业，服务模式不少于2种。</w:t>
      </w:r>
    </w:p>
    <w:p w14:paraId="767185F0">
      <w:pPr>
        <w:spacing w:before="156" w:beforeLines="50"/>
        <w:ind w:firstLine="562" w:firstLineChars="200"/>
        <w:rPr>
          <w:rFonts w:ascii="仿宋_GB2312" w:eastAsia="仿宋_GB2312"/>
          <w:sz w:val="28"/>
          <w:szCs w:val="28"/>
        </w:rPr>
      </w:pPr>
      <w:r>
        <w:rPr>
          <w:rFonts w:hint="eastAsia" w:ascii="仿宋_GB2312" w:eastAsia="仿宋_GB2312"/>
          <w:b/>
          <w:sz w:val="28"/>
          <w:szCs w:val="28"/>
        </w:rPr>
        <w:t>真实性：</w:t>
      </w:r>
      <w:r>
        <w:rPr>
          <w:rFonts w:hint="eastAsia" w:ascii="仿宋_GB2312" w:eastAsia="仿宋_GB2312"/>
          <w:sz w:val="28"/>
          <w:szCs w:val="28"/>
        </w:rPr>
        <w:t>项目真实可查、资料齐全可溯源，杜绝虚构数据、夸大成效。</w:t>
      </w:r>
    </w:p>
    <w:p w14:paraId="71CAC893">
      <w:pPr>
        <w:ind w:firstLine="562" w:firstLineChars="200"/>
        <w:rPr>
          <w:rFonts w:ascii="仿宋_GB2312" w:eastAsia="仿宋_GB2312"/>
          <w:sz w:val="28"/>
          <w:szCs w:val="28"/>
        </w:rPr>
      </w:pPr>
      <w:r>
        <w:rPr>
          <w:rFonts w:hint="eastAsia" w:ascii="仿宋_GB2312" w:eastAsia="仿宋_GB2312"/>
          <w:b/>
          <w:sz w:val="28"/>
          <w:szCs w:val="28"/>
        </w:rPr>
        <w:t>符合性：</w:t>
      </w:r>
      <w:r>
        <w:rPr>
          <w:rFonts w:hint="eastAsia" w:ascii="仿宋_GB2312" w:eastAsia="仿宋_GB2312"/>
          <w:sz w:val="28"/>
          <w:szCs w:val="28"/>
        </w:rPr>
        <w:t>典型案例项目应为采用多种服务方式组合，为委托方在项目投资决策、工程建设、运营及处置报废提供阶段性或整体解决方案的综合性工程咨询服务项目，应体现“集成化、一体化、系统化”咨询服务优势，区别于单一监理、单一造价碎片化服务。</w:t>
      </w:r>
    </w:p>
    <w:p w14:paraId="3C1F4E52">
      <w:pPr>
        <w:ind w:firstLine="562" w:firstLineChars="200"/>
        <w:rPr>
          <w:rFonts w:ascii="仿宋_GB2312" w:eastAsia="仿宋_GB2312"/>
          <w:sz w:val="28"/>
          <w:szCs w:val="28"/>
        </w:rPr>
      </w:pPr>
      <w:r>
        <w:rPr>
          <w:rFonts w:hint="eastAsia" w:ascii="仿宋_GB2312" w:eastAsia="仿宋_GB2312"/>
          <w:b/>
          <w:sz w:val="28"/>
          <w:szCs w:val="28"/>
        </w:rPr>
        <w:t>示范性：</w:t>
      </w:r>
      <w:r>
        <w:rPr>
          <w:rFonts w:hint="eastAsia" w:ascii="仿宋_GB2312" w:eastAsia="仿宋_GB2312"/>
          <w:sz w:val="28"/>
          <w:szCs w:val="28"/>
        </w:rPr>
        <w:t>具备可复制、可推广的模式、机制、方法，能够为行业同类项目提供借鉴，解决行业共性痛点问题。</w:t>
      </w:r>
    </w:p>
    <w:p w14:paraId="20FE4C73">
      <w:pPr>
        <w:ind w:firstLine="562" w:firstLineChars="200"/>
        <w:rPr>
          <w:rFonts w:ascii="仿宋_GB2312" w:eastAsia="仿宋_GB2312"/>
          <w:sz w:val="28"/>
          <w:szCs w:val="28"/>
        </w:rPr>
      </w:pPr>
      <w:r>
        <w:rPr>
          <w:rFonts w:hint="eastAsia" w:ascii="仿宋_GB2312" w:eastAsia="仿宋_GB2312"/>
          <w:b/>
          <w:sz w:val="28"/>
          <w:szCs w:val="28"/>
        </w:rPr>
        <w:t>合规性：</w:t>
      </w:r>
      <w:r>
        <w:rPr>
          <w:rFonts w:hint="eastAsia" w:ascii="仿宋_GB2312" w:eastAsia="仿宋_GB2312"/>
          <w:sz w:val="28"/>
          <w:szCs w:val="28"/>
        </w:rPr>
        <w:t>服务模式、取费方式、组织架构、管理制度符合现行法律法规、标准及全过程工程咨询试点政策要求。</w:t>
      </w:r>
    </w:p>
    <w:p w14:paraId="3C8E53E5">
      <w:pPr>
        <w:ind w:firstLine="562" w:firstLineChars="200"/>
        <w:rPr>
          <w:rFonts w:ascii="仿宋_GB2312" w:eastAsia="仿宋_GB2312"/>
          <w:sz w:val="28"/>
          <w:szCs w:val="28"/>
        </w:rPr>
      </w:pPr>
      <w:r>
        <w:rPr>
          <w:rFonts w:hint="eastAsia" w:ascii="仿宋_GB2312" w:eastAsia="仿宋_GB2312"/>
          <w:b/>
          <w:sz w:val="28"/>
          <w:szCs w:val="28"/>
        </w:rPr>
        <w:t>创新性：</w:t>
      </w:r>
      <w:r>
        <w:rPr>
          <w:rFonts w:hint="eastAsia" w:ascii="仿宋_GB2312" w:eastAsia="仿宋_GB2312"/>
          <w:sz w:val="28"/>
          <w:szCs w:val="28"/>
        </w:rPr>
        <w:t>突出管理创新、技术创新、模式创新、风险防控创新，体现行业转型升级方向。</w:t>
      </w:r>
    </w:p>
    <w:p w14:paraId="44DF0CB2">
      <w:pPr>
        <w:ind w:firstLine="560" w:firstLineChars="200"/>
        <w:rPr>
          <w:rFonts w:ascii="仿宋_GB2312" w:eastAsia="仿宋_GB2312"/>
          <w:sz w:val="28"/>
          <w:szCs w:val="28"/>
        </w:rPr>
      </w:pPr>
    </w:p>
    <w:p w14:paraId="57DB17C3">
      <w:pPr>
        <w:ind w:firstLine="560" w:firstLineChars="200"/>
        <w:rPr>
          <w:rFonts w:ascii="黑体" w:hAnsi="黑体" w:eastAsia="黑体"/>
          <w:sz w:val="28"/>
          <w:szCs w:val="28"/>
        </w:rPr>
      </w:pPr>
      <w:r>
        <w:rPr>
          <w:rFonts w:hint="eastAsia" w:ascii="黑体" w:hAnsi="黑体" w:eastAsia="黑体"/>
          <w:sz w:val="28"/>
          <w:szCs w:val="28"/>
        </w:rPr>
        <w:t>二、典型案例编制通用大纲</w:t>
      </w:r>
    </w:p>
    <w:p w14:paraId="7DCCABC6">
      <w:pPr>
        <w:ind w:firstLine="560" w:firstLineChars="200"/>
        <w:rPr>
          <w:rFonts w:ascii="黑体" w:hAnsi="黑体" w:eastAsia="黑体"/>
          <w:sz w:val="28"/>
          <w:szCs w:val="28"/>
        </w:rPr>
      </w:pPr>
      <w:r>
        <w:rPr>
          <w:rFonts w:hint="eastAsia" w:ascii="黑体" w:hAnsi="黑体" w:eastAsia="黑体"/>
          <w:sz w:val="28"/>
          <w:szCs w:val="28"/>
        </w:rPr>
        <w:t>第一章 项目基本概况</w:t>
      </w:r>
    </w:p>
    <w:p w14:paraId="139D4FD0">
      <w:pPr>
        <w:ind w:firstLine="560" w:firstLineChars="200"/>
        <w:rPr>
          <w:rFonts w:ascii="黑体" w:hAnsi="黑体" w:eastAsia="黑体"/>
          <w:sz w:val="28"/>
          <w:szCs w:val="28"/>
        </w:rPr>
      </w:pPr>
      <w:r>
        <w:rPr>
          <w:rFonts w:hint="eastAsia" w:ascii="黑体" w:hAnsi="黑体" w:eastAsia="黑体"/>
          <w:sz w:val="28"/>
          <w:szCs w:val="28"/>
        </w:rPr>
        <w:t>1.1 建设地点、内容与规模</w:t>
      </w:r>
    </w:p>
    <w:p w14:paraId="57224582">
      <w:pPr>
        <w:ind w:firstLine="560" w:firstLineChars="200"/>
        <w:rPr>
          <w:rFonts w:ascii="仿宋_GB2312" w:eastAsia="仿宋_GB2312"/>
          <w:sz w:val="28"/>
          <w:szCs w:val="28"/>
        </w:rPr>
      </w:pPr>
      <w:r>
        <w:rPr>
          <w:rFonts w:hint="eastAsia" w:ascii="仿宋_GB2312" w:eastAsia="仿宋_GB2312"/>
          <w:sz w:val="28"/>
          <w:szCs w:val="28"/>
        </w:rPr>
        <w:t>说明项目的具体地理位置、主要建设内容与工程规模。</w:t>
      </w:r>
    </w:p>
    <w:p w14:paraId="449C2097">
      <w:pPr>
        <w:ind w:firstLine="560" w:firstLineChars="200"/>
        <w:rPr>
          <w:rFonts w:ascii="仿宋_GB2312" w:eastAsia="仿宋_GB2312"/>
          <w:sz w:val="28"/>
          <w:szCs w:val="28"/>
        </w:rPr>
      </w:pPr>
      <w:r>
        <w:rPr>
          <w:rFonts w:hint="eastAsia" w:ascii="仿宋_GB2312" w:eastAsia="仿宋_GB2312"/>
          <w:sz w:val="28"/>
          <w:szCs w:val="28"/>
        </w:rPr>
        <w:t>项目背景与行业代表性：简要说明项目的宏观背景、在区域发展中的战略定位，及其作为典型案例在“全咨类型变化”（如新基建、城市更新、复杂工业项目等）中的代表性。</w:t>
      </w:r>
    </w:p>
    <w:p w14:paraId="3447DE7C">
      <w:pPr>
        <w:ind w:firstLine="560" w:firstLineChars="200"/>
        <w:rPr>
          <w:rFonts w:ascii="黑体" w:hAnsi="黑体" w:eastAsia="黑体"/>
          <w:sz w:val="28"/>
          <w:szCs w:val="28"/>
        </w:rPr>
      </w:pPr>
      <w:r>
        <w:rPr>
          <w:rFonts w:hint="eastAsia" w:ascii="黑体" w:hAnsi="黑体" w:eastAsia="黑体"/>
          <w:sz w:val="28"/>
          <w:szCs w:val="28"/>
        </w:rPr>
        <w:t>1.2 投资金额与全过程工程咨询服务取费模式</w:t>
      </w:r>
    </w:p>
    <w:p w14:paraId="5B06229E">
      <w:pPr>
        <w:ind w:firstLine="560" w:firstLineChars="200"/>
        <w:rPr>
          <w:rFonts w:ascii="仿宋_GB2312" w:eastAsia="仿宋_GB2312"/>
          <w:sz w:val="28"/>
          <w:szCs w:val="28"/>
        </w:rPr>
      </w:pPr>
      <w:r>
        <w:rPr>
          <w:rFonts w:hint="eastAsia" w:ascii="仿宋_GB2312" w:eastAsia="仿宋_GB2312"/>
          <w:sz w:val="28"/>
          <w:szCs w:val="28"/>
        </w:rPr>
        <w:t>明确项目总投资额，并简要说明资金来源构成。</w:t>
      </w:r>
    </w:p>
    <w:p w14:paraId="2EF68593">
      <w:pPr>
        <w:ind w:firstLine="560" w:firstLineChars="200"/>
        <w:rPr>
          <w:rFonts w:ascii="仿宋_GB2312" w:eastAsia="仿宋_GB2312"/>
          <w:sz w:val="28"/>
          <w:szCs w:val="28"/>
        </w:rPr>
      </w:pPr>
      <w:r>
        <w:rPr>
          <w:rFonts w:hint="eastAsia" w:ascii="仿宋_GB2312" w:eastAsia="仿宋_GB2312"/>
          <w:sz w:val="28"/>
          <w:szCs w:val="28"/>
        </w:rPr>
        <w:t>明确计费依据、计费方式、费用管控合规性，说明全过程工程咨询服务取费相较于分项委托的优势。</w:t>
      </w:r>
    </w:p>
    <w:p w14:paraId="1A95EE49">
      <w:pPr>
        <w:ind w:firstLine="560" w:firstLineChars="200"/>
        <w:rPr>
          <w:rFonts w:ascii="黑体" w:hAnsi="黑体" w:eastAsia="黑体"/>
          <w:sz w:val="28"/>
          <w:szCs w:val="28"/>
        </w:rPr>
      </w:pPr>
      <w:r>
        <w:rPr>
          <w:rFonts w:hint="eastAsia" w:ascii="黑体" w:hAnsi="黑体" w:eastAsia="黑体"/>
          <w:sz w:val="28"/>
          <w:szCs w:val="28"/>
        </w:rPr>
        <w:t>1.3 建设单位及主要参加单位</w:t>
      </w:r>
    </w:p>
    <w:p w14:paraId="20DEA354">
      <w:pPr>
        <w:ind w:firstLine="560" w:firstLineChars="200"/>
        <w:rPr>
          <w:rFonts w:ascii="黑体" w:hAnsi="黑体" w:eastAsia="黑体"/>
          <w:sz w:val="28"/>
          <w:szCs w:val="28"/>
        </w:rPr>
      </w:pPr>
      <w:r>
        <w:rPr>
          <w:rFonts w:hint="eastAsia" w:ascii="黑体" w:hAnsi="黑体" w:eastAsia="黑体"/>
          <w:sz w:val="28"/>
          <w:szCs w:val="28"/>
        </w:rPr>
        <w:t>1.4实施周期及里程碑事件</w:t>
      </w:r>
    </w:p>
    <w:p w14:paraId="4626DFCD">
      <w:pPr>
        <w:ind w:firstLine="560" w:firstLineChars="200"/>
        <w:rPr>
          <w:rFonts w:ascii="仿宋_GB2312" w:eastAsia="仿宋_GB2312"/>
          <w:sz w:val="28"/>
          <w:szCs w:val="28"/>
        </w:rPr>
      </w:pPr>
      <w:r>
        <w:rPr>
          <w:rFonts w:hint="eastAsia" w:ascii="仿宋_GB2312" w:eastAsia="仿宋_GB2312"/>
          <w:sz w:val="28"/>
          <w:szCs w:val="28"/>
        </w:rPr>
        <w:t>可以图表形式呈现：建议使用甘特图或里程碑节点表，清晰展示从决策到交付（或运维）的全过程关键时间节点，直观体现全咨服务的全过程周期管理。</w:t>
      </w:r>
    </w:p>
    <w:p w14:paraId="56E7510E">
      <w:pPr>
        <w:ind w:firstLine="560" w:firstLineChars="200"/>
        <w:rPr>
          <w:rFonts w:ascii="黑体" w:hAnsi="黑体" w:eastAsia="黑体"/>
          <w:sz w:val="28"/>
          <w:szCs w:val="28"/>
        </w:rPr>
      </w:pPr>
      <w:r>
        <w:rPr>
          <w:rFonts w:hint="eastAsia" w:ascii="黑体" w:hAnsi="黑体" w:eastAsia="黑体"/>
          <w:sz w:val="28"/>
          <w:szCs w:val="28"/>
        </w:rPr>
        <w:t>1.5全过程工程咨询服务范围、内容与模式</w:t>
      </w:r>
    </w:p>
    <w:p w14:paraId="0CDE6898">
      <w:pPr>
        <w:ind w:firstLine="560" w:firstLineChars="200"/>
        <w:rPr>
          <w:rFonts w:ascii="仿宋_GB2312" w:eastAsia="仿宋_GB2312"/>
          <w:sz w:val="28"/>
          <w:szCs w:val="28"/>
        </w:rPr>
      </w:pPr>
      <w:r>
        <w:rPr>
          <w:rFonts w:hint="eastAsia" w:ascii="仿宋_GB2312" w:eastAsia="仿宋_GB2312"/>
          <w:sz w:val="28"/>
          <w:szCs w:val="28"/>
        </w:rPr>
        <w:t>明确服务阶段、服务内容、联合体组成（如有）、服务边界。</w:t>
      </w:r>
    </w:p>
    <w:p w14:paraId="6E49C800">
      <w:pPr>
        <w:ind w:firstLine="560" w:firstLineChars="200"/>
        <w:rPr>
          <w:rFonts w:ascii="仿宋_GB2312" w:eastAsia="仿宋_GB2312"/>
          <w:sz w:val="28"/>
          <w:szCs w:val="28"/>
        </w:rPr>
      </w:pPr>
      <w:r>
        <w:rPr>
          <w:rFonts w:hint="eastAsia" w:ascii="仿宋_GB2312" w:eastAsia="仿宋_GB2312"/>
          <w:sz w:val="28"/>
          <w:szCs w:val="28"/>
        </w:rPr>
        <w:t>采用的服务模式（独立委托模式/联合体模式/咨询总包模式/其他模式），对比传统碎片化咨询的优势。</w:t>
      </w:r>
    </w:p>
    <w:p w14:paraId="59298E66">
      <w:pPr>
        <w:ind w:firstLine="560" w:firstLineChars="200"/>
        <w:rPr>
          <w:rFonts w:ascii="仿宋_GB2312" w:eastAsia="仿宋_GB2312"/>
          <w:sz w:val="28"/>
          <w:szCs w:val="28"/>
        </w:rPr>
      </w:pPr>
      <w:r>
        <w:rPr>
          <w:rFonts w:hint="eastAsia" w:ascii="仿宋_GB2312" w:eastAsia="仿宋_GB2312"/>
          <w:sz w:val="28"/>
          <w:szCs w:val="28"/>
        </w:rPr>
        <w:t>以“服务菜单图”或“服务范围矩阵图”直观展示：明确说明是“1+N”模式还是深度融合模式，并点明是否包含投融资顾问、运维策划等“更前端或更后延” 的创新服务内容。</w:t>
      </w:r>
    </w:p>
    <w:p w14:paraId="4417CD49">
      <w:pPr>
        <w:spacing w:line="360" w:lineRule="auto"/>
        <w:ind w:firstLine="480" w:firstLineChars="200"/>
        <w:rPr>
          <w:rFonts w:ascii="黑体" w:hAnsi="黑体" w:eastAsia="黑体"/>
          <w:sz w:val="24"/>
          <w:szCs w:val="24"/>
        </w:rPr>
      </w:pPr>
      <w:r>
        <w:rPr>
          <w:rFonts w:hint="eastAsia" w:ascii="黑体" w:hAnsi="黑体" w:eastAsia="黑体"/>
          <w:sz w:val="24"/>
          <w:szCs w:val="24"/>
        </w:rPr>
        <w:t>注：列明全过程工程咨询服务实施覆盖投资决策、工程建设、项目运营阶段中的具体服务，可参考以下内容：</w:t>
      </w:r>
    </w:p>
    <w:p w14:paraId="35A4B540">
      <w:pPr>
        <w:spacing w:line="360" w:lineRule="auto"/>
        <w:ind w:firstLine="480" w:firstLineChars="200"/>
        <w:rPr>
          <w:rFonts w:ascii="黑体" w:hAnsi="黑体" w:eastAsia="黑体"/>
          <w:sz w:val="24"/>
          <w:szCs w:val="24"/>
        </w:rPr>
      </w:pPr>
      <w:r>
        <w:rPr>
          <w:rFonts w:hint="eastAsia" w:ascii="黑体" w:hAnsi="黑体" w:eastAsia="黑体"/>
          <w:sz w:val="24"/>
          <w:szCs w:val="24"/>
        </w:rPr>
        <w:t>1. 投资决策阶段：投资决策策划、可行性研究、建设条件单项咨询（选址论证、环境影响评价、节能评价、安全评价、社会稳定风险分析等）；</w:t>
      </w:r>
    </w:p>
    <w:p w14:paraId="7517A55C">
      <w:pPr>
        <w:spacing w:line="360" w:lineRule="auto"/>
        <w:ind w:firstLine="480" w:firstLineChars="200"/>
        <w:rPr>
          <w:rFonts w:ascii="黑体" w:hAnsi="黑体" w:eastAsia="黑体"/>
          <w:sz w:val="24"/>
          <w:szCs w:val="24"/>
        </w:rPr>
      </w:pPr>
      <w:r>
        <w:rPr>
          <w:rFonts w:hint="eastAsia" w:ascii="黑体" w:hAnsi="黑体" w:eastAsia="黑体"/>
          <w:sz w:val="24"/>
          <w:szCs w:val="24"/>
        </w:rPr>
        <w:t>2. 工程建设阶段：项目管理、招标代理、工程勘察管理、工程设计管理、工程设计服务、造价咨询、工程监理等；</w:t>
      </w:r>
    </w:p>
    <w:p w14:paraId="6D0EBE2F">
      <w:pPr>
        <w:spacing w:line="360" w:lineRule="auto"/>
        <w:ind w:firstLine="480" w:firstLineChars="200"/>
        <w:rPr>
          <w:rFonts w:ascii="黑体" w:hAnsi="黑体" w:eastAsia="黑体"/>
          <w:sz w:val="24"/>
          <w:szCs w:val="24"/>
        </w:rPr>
      </w:pPr>
      <w:r>
        <w:rPr>
          <w:rFonts w:hint="eastAsia" w:ascii="黑体" w:hAnsi="黑体" w:eastAsia="黑体"/>
          <w:sz w:val="24"/>
          <w:szCs w:val="24"/>
        </w:rPr>
        <w:t>3. 项目运营阶段：运营咨询（设施运维咨询、能耗管理咨询、资产管理咨询、运营成本咨询等）、项目自我总结评价等；</w:t>
      </w:r>
    </w:p>
    <w:p w14:paraId="0B92179F">
      <w:pPr>
        <w:spacing w:line="360" w:lineRule="auto"/>
        <w:ind w:firstLine="480" w:firstLineChars="200"/>
        <w:rPr>
          <w:rFonts w:ascii="黑体" w:hAnsi="黑体" w:eastAsia="黑体"/>
          <w:sz w:val="24"/>
          <w:szCs w:val="24"/>
        </w:rPr>
      </w:pPr>
      <w:r>
        <w:rPr>
          <w:rFonts w:hint="eastAsia" w:ascii="黑体" w:hAnsi="黑体" w:eastAsia="黑体"/>
          <w:sz w:val="24"/>
          <w:szCs w:val="24"/>
        </w:rPr>
        <w:t>4. 其它内容。</w:t>
      </w:r>
    </w:p>
    <w:p w14:paraId="6D8256ED">
      <w:pPr>
        <w:ind w:firstLine="560" w:firstLineChars="200"/>
        <w:rPr>
          <w:rFonts w:ascii="黑体" w:hAnsi="黑体" w:eastAsia="黑体"/>
          <w:sz w:val="28"/>
          <w:szCs w:val="28"/>
        </w:rPr>
      </w:pPr>
      <w:r>
        <w:rPr>
          <w:rFonts w:hint="eastAsia" w:ascii="黑体" w:hAnsi="黑体" w:eastAsia="黑体"/>
          <w:sz w:val="28"/>
          <w:szCs w:val="28"/>
        </w:rPr>
        <w:t>1.6 工程获奖情况</w:t>
      </w:r>
    </w:p>
    <w:p w14:paraId="3E0D6E16">
      <w:pPr>
        <w:ind w:firstLine="560" w:firstLineChars="200"/>
        <w:rPr>
          <w:rFonts w:ascii="仿宋_GB2312" w:eastAsia="仿宋_GB2312"/>
          <w:sz w:val="28"/>
          <w:szCs w:val="28"/>
        </w:rPr>
      </w:pPr>
      <w:r>
        <w:rPr>
          <w:rFonts w:hint="eastAsia" w:ascii="仿宋_GB2312" w:eastAsia="仿宋_GB2312"/>
          <w:sz w:val="28"/>
          <w:szCs w:val="28"/>
        </w:rPr>
        <w:t>列出项目获得的行业认证、绿色建筑标识、质量奖项、创新奖项、知识产权等，作为项目成效的客观佐证。</w:t>
      </w:r>
    </w:p>
    <w:p w14:paraId="214314E1">
      <w:pPr>
        <w:ind w:firstLine="560" w:firstLineChars="200"/>
        <w:rPr>
          <w:rFonts w:ascii="黑体" w:hAnsi="黑体" w:eastAsia="黑体"/>
          <w:sz w:val="28"/>
          <w:szCs w:val="28"/>
        </w:rPr>
      </w:pPr>
      <w:r>
        <w:rPr>
          <w:rFonts w:hint="eastAsia" w:ascii="黑体" w:hAnsi="黑体" w:eastAsia="黑体"/>
          <w:sz w:val="28"/>
          <w:szCs w:val="28"/>
        </w:rPr>
        <w:t>第二章 全过程工程咨询服务策划</w:t>
      </w:r>
    </w:p>
    <w:p w14:paraId="21785A24">
      <w:pPr>
        <w:ind w:firstLine="560" w:firstLineChars="200"/>
        <w:rPr>
          <w:rFonts w:ascii="黑体" w:hAnsi="黑体" w:eastAsia="黑体"/>
          <w:sz w:val="28"/>
          <w:szCs w:val="28"/>
        </w:rPr>
      </w:pPr>
      <w:r>
        <w:rPr>
          <w:rFonts w:hint="eastAsia" w:ascii="黑体" w:hAnsi="黑体" w:eastAsia="黑体"/>
          <w:sz w:val="28"/>
          <w:szCs w:val="28"/>
        </w:rPr>
        <w:t>2.1 服务理念</w:t>
      </w:r>
    </w:p>
    <w:p w14:paraId="6AF79BAA">
      <w:pPr>
        <w:ind w:firstLine="560" w:firstLineChars="200"/>
        <w:rPr>
          <w:rFonts w:ascii="黑体" w:hAnsi="黑体" w:eastAsia="黑体"/>
          <w:sz w:val="28"/>
          <w:szCs w:val="28"/>
        </w:rPr>
      </w:pPr>
      <w:r>
        <w:rPr>
          <w:rFonts w:hint="eastAsia" w:ascii="黑体" w:hAnsi="黑体" w:eastAsia="黑体"/>
          <w:sz w:val="28"/>
          <w:szCs w:val="28"/>
        </w:rPr>
        <w:t>2.2目标策划及管理</w:t>
      </w:r>
    </w:p>
    <w:p w14:paraId="75BECB16">
      <w:pPr>
        <w:ind w:firstLine="560" w:firstLineChars="200"/>
        <w:rPr>
          <w:rFonts w:ascii="仿宋_GB2312" w:eastAsia="仿宋_GB2312"/>
          <w:sz w:val="28"/>
          <w:szCs w:val="28"/>
        </w:rPr>
      </w:pPr>
      <w:r>
        <w:rPr>
          <w:rFonts w:hint="eastAsia" w:ascii="仿宋_GB2312" w:eastAsia="仿宋_GB2312"/>
          <w:sz w:val="28"/>
          <w:szCs w:val="28"/>
        </w:rPr>
        <w:t>明确项目的总体目标（投资、进度、质量、安全、绿色等），并进行系统的目标分解。需说明全咨服务在各分目标中的具体考核指标和控制要点。</w:t>
      </w:r>
    </w:p>
    <w:p w14:paraId="3081F59C">
      <w:pPr>
        <w:ind w:firstLine="560" w:firstLineChars="200"/>
        <w:rPr>
          <w:rFonts w:ascii="黑体" w:hAnsi="黑体" w:eastAsia="黑体"/>
          <w:sz w:val="28"/>
          <w:szCs w:val="28"/>
        </w:rPr>
      </w:pPr>
      <w:r>
        <w:rPr>
          <w:rFonts w:hint="eastAsia" w:ascii="黑体" w:hAnsi="黑体" w:eastAsia="黑体"/>
          <w:sz w:val="28"/>
          <w:szCs w:val="28"/>
        </w:rPr>
        <w:t>2.3组织策划及管理</w:t>
      </w:r>
    </w:p>
    <w:p w14:paraId="45357FE0">
      <w:pPr>
        <w:ind w:firstLine="560" w:firstLineChars="200"/>
        <w:rPr>
          <w:rFonts w:ascii="仿宋_GB2312" w:eastAsia="仿宋_GB2312"/>
          <w:sz w:val="28"/>
          <w:szCs w:val="28"/>
        </w:rPr>
      </w:pPr>
      <w:r>
        <w:rPr>
          <w:rFonts w:hint="eastAsia" w:ascii="仿宋_GB2312" w:eastAsia="仿宋_GB2312"/>
          <w:sz w:val="28"/>
          <w:szCs w:val="28"/>
        </w:rPr>
        <w:t>提供清晰的全咨服务组织结构图。图中需标注核心岗位（如项目总咨询师、数字化负责人、专业咨询经理等），并用文字补充说明关键角色的职责、能力要求，以及团队组建时对“专业匹配”、“知识结构”、“主要成员经历”等要素的考量，体现为应对全咨挑战而进行的“人员结构变化”与“岗位增设”。</w:t>
      </w:r>
    </w:p>
    <w:p w14:paraId="793A46F5">
      <w:pPr>
        <w:ind w:firstLine="560" w:firstLineChars="200"/>
        <w:rPr>
          <w:rFonts w:ascii="黑体" w:hAnsi="黑体" w:eastAsia="黑体"/>
          <w:sz w:val="28"/>
          <w:szCs w:val="28"/>
        </w:rPr>
      </w:pPr>
      <w:r>
        <w:rPr>
          <w:rFonts w:hint="eastAsia" w:ascii="黑体" w:hAnsi="黑体" w:eastAsia="黑体"/>
          <w:sz w:val="28"/>
          <w:szCs w:val="28"/>
        </w:rPr>
        <w:t>2.4服务策划文件</w:t>
      </w:r>
    </w:p>
    <w:p w14:paraId="66D2E4E6">
      <w:pPr>
        <w:ind w:firstLine="560" w:firstLineChars="200"/>
        <w:rPr>
          <w:rFonts w:ascii="仿宋_GB2312" w:eastAsia="仿宋_GB2312"/>
          <w:sz w:val="28"/>
          <w:szCs w:val="28"/>
        </w:rPr>
      </w:pPr>
      <w:r>
        <w:rPr>
          <w:rFonts w:hint="eastAsia" w:ascii="仿宋_GB2312" w:eastAsia="仿宋_GB2312"/>
          <w:sz w:val="28"/>
          <w:szCs w:val="28"/>
        </w:rPr>
        <w:t>围绕项目合同及业主需求，编制哪些策划类文件；建立的质量、进度、投资、安全、合同、资料、风险、廉洁等管控体系。</w:t>
      </w:r>
    </w:p>
    <w:p w14:paraId="394AA565">
      <w:pPr>
        <w:ind w:firstLine="560" w:firstLineChars="200"/>
        <w:rPr>
          <w:rFonts w:ascii="黑体" w:hAnsi="黑体" w:eastAsia="黑体"/>
          <w:sz w:val="28"/>
          <w:szCs w:val="28"/>
        </w:rPr>
      </w:pPr>
      <w:r>
        <w:rPr>
          <w:rFonts w:hint="eastAsia" w:ascii="黑体" w:hAnsi="黑体" w:eastAsia="黑体"/>
          <w:sz w:val="28"/>
          <w:szCs w:val="28"/>
        </w:rPr>
        <w:t>第三章 全过程工程咨询服务实施</w:t>
      </w:r>
    </w:p>
    <w:p w14:paraId="2E05091D">
      <w:pPr>
        <w:ind w:firstLine="560" w:firstLineChars="200"/>
        <w:rPr>
          <w:rFonts w:ascii="黑体" w:hAnsi="黑体" w:eastAsia="黑体"/>
          <w:sz w:val="28"/>
          <w:szCs w:val="28"/>
        </w:rPr>
      </w:pPr>
      <w:r>
        <w:rPr>
          <w:rFonts w:hint="eastAsia" w:ascii="黑体" w:hAnsi="黑体" w:eastAsia="黑体"/>
          <w:sz w:val="28"/>
          <w:szCs w:val="28"/>
        </w:rPr>
        <w:t>3.1 工程特点</w:t>
      </w:r>
    </w:p>
    <w:p w14:paraId="2A049B28">
      <w:pPr>
        <w:ind w:firstLine="560" w:firstLineChars="200"/>
        <w:rPr>
          <w:rFonts w:ascii="仿宋_GB2312" w:eastAsia="仿宋_GB2312"/>
          <w:sz w:val="28"/>
          <w:szCs w:val="28"/>
        </w:rPr>
      </w:pPr>
      <w:r>
        <w:rPr>
          <w:rFonts w:hint="eastAsia" w:ascii="仿宋_GB2312" w:eastAsia="仿宋_GB2312"/>
          <w:sz w:val="28"/>
          <w:szCs w:val="28"/>
        </w:rPr>
        <w:t>简述项目本身在技术、环境、管理、界面协调等方面的独特性和复杂性。</w:t>
      </w:r>
    </w:p>
    <w:p w14:paraId="5E82B95F">
      <w:pPr>
        <w:ind w:firstLine="560" w:firstLineChars="200"/>
        <w:rPr>
          <w:rFonts w:ascii="黑体" w:hAnsi="黑体" w:eastAsia="黑体"/>
          <w:sz w:val="28"/>
          <w:szCs w:val="28"/>
        </w:rPr>
      </w:pPr>
      <w:r>
        <w:rPr>
          <w:rFonts w:hint="eastAsia" w:ascii="黑体" w:hAnsi="黑体" w:eastAsia="黑体"/>
          <w:sz w:val="28"/>
          <w:szCs w:val="28"/>
        </w:rPr>
        <w:t>3.2 咨询工作重难点</w:t>
      </w:r>
    </w:p>
    <w:p w14:paraId="4E89DF68">
      <w:pPr>
        <w:ind w:firstLine="560" w:firstLineChars="200"/>
        <w:rPr>
          <w:rFonts w:ascii="仿宋_GB2312" w:eastAsia="仿宋_GB2312"/>
          <w:sz w:val="28"/>
          <w:szCs w:val="28"/>
        </w:rPr>
      </w:pPr>
      <w:r>
        <w:rPr>
          <w:rFonts w:hint="eastAsia" w:ascii="仿宋_GB2312" w:eastAsia="仿宋_GB2312"/>
          <w:sz w:val="28"/>
          <w:szCs w:val="28"/>
        </w:rPr>
        <w:t>结合全咨的 “集成性、专业性” 等特征来阐述，与工程特点区分但可关联。例如：</w:t>
      </w:r>
    </w:p>
    <w:p w14:paraId="2EB33693">
      <w:pPr>
        <w:ind w:firstLine="560" w:firstLineChars="200"/>
        <w:rPr>
          <w:rFonts w:ascii="仿宋_GB2312" w:eastAsia="仿宋_GB2312"/>
          <w:sz w:val="28"/>
          <w:szCs w:val="28"/>
        </w:rPr>
      </w:pPr>
      <w:r>
        <w:rPr>
          <w:rFonts w:hint="eastAsia" w:ascii="仿宋_GB2312" w:eastAsia="仿宋_GB2312"/>
          <w:sz w:val="28"/>
          <w:szCs w:val="28"/>
        </w:rPr>
        <w:t>“多目标统筹”的难点：如何平衡投资与品质、进度与安全；</w:t>
      </w:r>
    </w:p>
    <w:p w14:paraId="39EACA7E">
      <w:pPr>
        <w:ind w:firstLine="560" w:firstLineChars="200"/>
        <w:rPr>
          <w:rFonts w:ascii="仿宋_GB2312" w:eastAsia="仿宋_GB2312"/>
          <w:sz w:val="28"/>
          <w:szCs w:val="28"/>
        </w:rPr>
      </w:pPr>
      <w:r>
        <w:rPr>
          <w:rFonts w:hint="eastAsia" w:ascii="仿宋_GB2312" w:eastAsia="仿宋_GB2312"/>
          <w:sz w:val="28"/>
          <w:szCs w:val="28"/>
        </w:rPr>
        <w:t>“多参与方协同”的难点：如何打破信息孤岛，实现高效沟通；</w:t>
      </w:r>
    </w:p>
    <w:p w14:paraId="451D0B24">
      <w:pPr>
        <w:ind w:firstLine="560" w:firstLineChars="200"/>
        <w:rPr>
          <w:rFonts w:ascii="仿宋_GB2312" w:eastAsia="仿宋_GB2312"/>
          <w:sz w:val="28"/>
          <w:szCs w:val="28"/>
        </w:rPr>
      </w:pPr>
      <w:r>
        <w:rPr>
          <w:rFonts w:hint="eastAsia" w:ascii="仿宋_GB2312" w:eastAsia="仿宋_GB2312"/>
          <w:sz w:val="28"/>
          <w:szCs w:val="28"/>
        </w:rPr>
        <w:t>“新技术应用与融合”的难点：如BIM、数字化平台与管理的深度结合；</w:t>
      </w:r>
    </w:p>
    <w:p w14:paraId="3EFA27F2">
      <w:pPr>
        <w:ind w:firstLine="560" w:firstLineChars="200"/>
        <w:rPr>
          <w:rFonts w:ascii="仿宋_GB2312" w:eastAsia="仿宋_GB2312"/>
          <w:sz w:val="28"/>
          <w:szCs w:val="28"/>
        </w:rPr>
      </w:pPr>
      <w:r>
        <w:rPr>
          <w:rFonts w:hint="eastAsia" w:ascii="仿宋_GB2312" w:eastAsia="仿宋_GB2312"/>
          <w:sz w:val="28"/>
          <w:szCs w:val="28"/>
        </w:rPr>
        <w:t>“人才与知识”的挑战：如何组建并管理好满足项目需求的复合型团队。</w:t>
      </w:r>
    </w:p>
    <w:p w14:paraId="6EA3AB86">
      <w:pPr>
        <w:ind w:firstLine="560" w:firstLineChars="200"/>
        <w:rPr>
          <w:rFonts w:ascii="黑体" w:hAnsi="黑体" w:eastAsia="黑体"/>
          <w:sz w:val="28"/>
          <w:szCs w:val="28"/>
        </w:rPr>
      </w:pPr>
      <w:r>
        <w:rPr>
          <w:rFonts w:hint="eastAsia" w:ascii="黑体" w:hAnsi="黑体" w:eastAsia="黑体"/>
          <w:sz w:val="28"/>
          <w:szCs w:val="28"/>
        </w:rPr>
        <w:t>3.3服务实施的工作思路和成效</w:t>
      </w:r>
    </w:p>
    <w:p w14:paraId="733DAE65">
      <w:pPr>
        <w:ind w:firstLine="560" w:firstLineChars="200"/>
        <w:rPr>
          <w:rFonts w:ascii="仿宋_GB2312" w:eastAsia="仿宋_GB2312"/>
          <w:sz w:val="28"/>
          <w:szCs w:val="28"/>
        </w:rPr>
      </w:pPr>
      <w:r>
        <w:rPr>
          <w:rFonts w:hint="eastAsia" w:ascii="仿宋_GB2312" w:eastAsia="仿宋_GB2312"/>
          <w:sz w:val="28"/>
          <w:szCs w:val="28"/>
        </w:rPr>
        <w:t>阐述如何系统性开展工作，管理理念和思路、实现的路径，尽量用具体的、可衡量的、有对比的数据和案例表述取得的进度统筹、投资管控、功能与价值实现、信息流贯通、风险管控、数字化增效等方面的工作成效。也可与传统咨询时的难点痛点进行对比。</w:t>
      </w:r>
    </w:p>
    <w:p w14:paraId="440A2DAE">
      <w:pPr>
        <w:ind w:firstLine="560" w:firstLineChars="200"/>
        <w:rPr>
          <w:rFonts w:ascii="黑体" w:hAnsi="黑体" w:eastAsia="黑体"/>
          <w:sz w:val="28"/>
          <w:szCs w:val="28"/>
        </w:rPr>
      </w:pPr>
      <w:r>
        <w:rPr>
          <w:rFonts w:hint="eastAsia" w:ascii="黑体" w:hAnsi="黑体" w:eastAsia="黑体"/>
          <w:sz w:val="28"/>
          <w:szCs w:val="28"/>
        </w:rPr>
        <w:t>第四章</w:t>
      </w:r>
      <w:r>
        <w:rPr>
          <w:rFonts w:hint="eastAsia" w:ascii="黑体" w:hAnsi="黑体" w:eastAsia="黑体"/>
          <w:color w:val="0000FF"/>
          <w:sz w:val="28"/>
          <w:szCs w:val="28"/>
        </w:rPr>
        <w:t xml:space="preserve"> </w:t>
      </w:r>
      <w:bookmarkStart w:id="0" w:name="OLE_LINK24"/>
      <w:bookmarkStart w:id="1" w:name="OLE_LINK23"/>
      <w:r>
        <w:rPr>
          <w:rFonts w:hint="eastAsia" w:ascii="黑体" w:hAnsi="黑体" w:eastAsia="黑体"/>
          <w:sz w:val="28"/>
          <w:szCs w:val="28"/>
        </w:rPr>
        <w:t>服务实施过程中的问题与改进措施</w:t>
      </w:r>
    </w:p>
    <w:p w14:paraId="1A063781">
      <w:pPr>
        <w:ind w:firstLine="560" w:firstLineChars="200"/>
        <w:rPr>
          <w:rFonts w:ascii="仿宋_GB2312" w:eastAsia="仿宋_GB2312"/>
        </w:rPr>
      </w:pPr>
      <w:r>
        <w:rPr>
          <w:rFonts w:hint="eastAsia" w:ascii="仿宋_GB2312" w:eastAsia="仿宋_GB2312"/>
          <w:sz w:val="28"/>
          <w:szCs w:val="28"/>
        </w:rPr>
        <w:t>4.1 项目实施中存在的行业普遍问题、特定突出问题、不足之处、管理挑战以及协作障碍（要求真实描述，避免敷衍）。</w:t>
      </w:r>
    </w:p>
    <w:p w14:paraId="22725810">
      <w:pPr>
        <w:ind w:firstLine="560" w:firstLineChars="200"/>
        <w:rPr>
          <w:rFonts w:ascii="仿宋_GB2312" w:eastAsia="仿宋_GB2312"/>
        </w:rPr>
      </w:pPr>
      <w:r>
        <w:rPr>
          <w:rFonts w:hint="eastAsia" w:ascii="仿宋_GB2312" w:eastAsia="仿宋_GB2312"/>
          <w:sz w:val="28"/>
          <w:szCs w:val="28"/>
        </w:rPr>
        <w:t>4.2 针对问题的纠正措施、改进方案与实施过程中的调整方法。</w:t>
      </w:r>
    </w:p>
    <w:bookmarkEnd w:id="0"/>
    <w:bookmarkEnd w:id="1"/>
    <w:p w14:paraId="65ED068B">
      <w:pPr>
        <w:ind w:firstLine="560" w:firstLineChars="200"/>
        <w:rPr>
          <w:rFonts w:ascii="仿宋_GB2312" w:eastAsia="仿宋_GB2312"/>
        </w:rPr>
      </w:pPr>
      <w:r>
        <w:rPr>
          <w:rFonts w:hint="eastAsia" w:ascii="仿宋_GB2312" w:eastAsia="仿宋_GB2312"/>
          <w:sz w:val="28"/>
          <w:szCs w:val="28"/>
        </w:rPr>
        <w:t>4.3 未来类似项目可供参考的优化经验。</w:t>
      </w:r>
    </w:p>
    <w:p w14:paraId="1A2133EC">
      <w:pPr>
        <w:ind w:firstLine="560" w:firstLineChars="200"/>
        <w:rPr>
          <w:rFonts w:ascii="黑体" w:hAnsi="黑体" w:eastAsia="黑体"/>
          <w:sz w:val="28"/>
          <w:szCs w:val="28"/>
        </w:rPr>
      </w:pPr>
    </w:p>
    <w:p w14:paraId="1F431342">
      <w:pPr>
        <w:ind w:firstLine="560" w:firstLineChars="200"/>
        <w:rPr>
          <w:rFonts w:ascii="黑体" w:hAnsi="黑体" w:eastAsia="黑体"/>
          <w:sz w:val="28"/>
          <w:szCs w:val="28"/>
        </w:rPr>
      </w:pPr>
      <w:r>
        <w:rPr>
          <w:rFonts w:hint="eastAsia" w:ascii="黑体" w:hAnsi="黑体" w:eastAsia="黑体"/>
          <w:sz w:val="28"/>
          <w:szCs w:val="28"/>
        </w:rPr>
        <w:t>第五章  服务亮点与创新成效</w:t>
      </w:r>
    </w:p>
    <w:p w14:paraId="60B8D738">
      <w:pPr>
        <w:ind w:firstLine="560" w:firstLineChars="200"/>
        <w:rPr>
          <w:rFonts w:ascii="黑体" w:hAnsi="黑体" w:eastAsia="黑体"/>
          <w:sz w:val="28"/>
          <w:szCs w:val="28"/>
        </w:rPr>
      </w:pPr>
      <w:r>
        <w:rPr>
          <w:rFonts w:hint="eastAsia" w:ascii="黑体" w:hAnsi="黑体" w:eastAsia="黑体"/>
          <w:sz w:val="28"/>
          <w:szCs w:val="28"/>
        </w:rPr>
        <w:t>5.1 管理创新与技术创新</w:t>
      </w:r>
    </w:p>
    <w:p w14:paraId="43518BFB">
      <w:pPr>
        <w:ind w:firstLine="560" w:firstLineChars="200"/>
        <w:rPr>
          <w:rFonts w:ascii="仿宋_GB2312" w:eastAsia="仿宋_GB2312"/>
          <w:sz w:val="28"/>
          <w:szCs w:val="28"/>
        </w:rPr>
      </w:pPr>
      <w:r>
        <w:rPr>
          <w:rFonts w:hint="eastAsia" w:ascii="仿宋_GB2312" w:eastAsia="仿宋_GB2312"/>
          <w:sz w:val="28"/>
          <w:szCs w:val="28"/>
        </w:rPr>
        <w:t>对破除碎片化咨询的示范意义，采取的集成化管控机制、跨专业协同机制、全过程台账管理、数字化管控手段等。</w:t>
      </w:r>
    </w:p>
    <w:p w14:paraId="7ABA6D17">
      <w:pPr>
        <w:ind w:firstLine="560" w:firstLineChars="200"/>
        <w:rPr>
          <w:rFonts w:ascii="仿宋_GB2312" w:eastAsia="仿宋_GB2312"/>
          <w:sz w:val="28"/>
          <w:szCs w:val="28"/>
        </w:rPr>
      </w:pPr>
      <w:r>
        <w:rPr>
          <w:rFonts w:hint="eastAsia" w:ascii="仿宋_GB2312" w:eastAsia="仿宋_GB2312"/>
          <w:sz w:val="28"/>
          <w:szCs w:val="28"/>
        </w:rPr>
        <w:t>限额设计落地、BIM 全过程应用、绿色建筑咨询、智慧工地管控、专项技术优化等。</w:t>
      </w:r>
    </w:p>
    <w:p w14:paraId="4FD36FA7">
      <w:pPr>
        <w:ind w:firstLine="560" w:firstLineChars="200"/>
        <w:rPr>
          <w:rFonts w:ascii="黑体" w:hAnsi="黑体" w:eastAsia="黑体"/>
          <w:sz w:val="28"/>
          <w:szCs w:val="28"/>
        </w:rPr>
      </w:pPr>
      <w:r>
        <w:rPr>
          <w:rFonts w:hint="eastAsia" w:ascii="黑体" w:hAnsi="黑体" w:eastAsia="黑体"/>
          <w:sz w:val="28"/>
          <w:szCs w:val="28"/>
        </w:rPr>
        <w:t>5.2</w:t>
      </w:r>
      <w:r>
        <w:rPr>
          <w:rFonts w:ascii="黑体" w:hAnsi="黑体" w:eastAsia="黑体"/>
          <w:sz w:val="28"/>
          <w:szCs w:val="28"/>
        </w:rPr>
        <w:t xml:space="preserve"> </w:t>
      </w:r>
      <w:r>
        <w:rPr>
          <w:rFonts w:hint="eastAsia" w:ascii="黑体" w:hAnsi="黑体" w:eastAsia="黑体"/>
          <w:sz w:val="28"/>
          <w:szCs w:val="28"/>
        </w:rPr>
        <w:t>投资管控成效与进度质量安全成效</w:t>
      </w:r>
    </w:p>
    <w:p w14:paraId="7E9AA33A">
      <w:pPr>
        <w:ind w:firstLine="560" w:firstLineChars="200"/>
        <w:rPr>
          <w:rFonts w:ascii="仿宋_GB2312" w:eastAsia="仿宋_GB2312"/>
          <w:sz w:val="28"/>
          <w:szCs w:val="28"/>
        </w:rPr>
      </w:pPr>
      <w:r>
        <w:rPr>
          <w:rFonts w:hint="eastAsia" w:ascii="仿宋_GB2312" w:eastAsia="仿宋_GB2312"/>
          <w:sz w:val="28"/>
          <w:szCs w:val="28"/>
        </w:rPr>
        <w:t>累计优化投资额、核减不合理费用、规避超概算风险数据；</w:t>
      </w:r>
    </w:p>
    <w:p w14:paraId="75C865A7">
      <w:pPr>
        <w:ind w:firstLine="560" w:firstLineChars="200"/>
        <w:rPr>
          <w:rFonts w:ascii="仿宋_GB2312" w:eastAsia="仿宋_GB2312"/>
          <w:sz w:val="28"/>
          <w:szCs w:val="28"/>
        </w:rPr>
      </w:pPr>
      <w:r>
        <w:rPr>
          <w:rFonts w:hint="eastAsia" w:ascii="仿宋_GB2312" w:eastAsia="仿宋_GB2312"/>
          <w:sz w:val="28"/>
          <w:szCs w:val="28"/>
        </w:rPr>
        <w:t>按期完工、零质量事故、零安全责任事故、创优获奖情况。</w:t>
      </w:r>
    </w:p>
    <w:p w14:paraId="25491822">
      <w:pPr>
        <w:ind w:firstLine="560" w:firstLineChars="200"/>
        <w:rPr>
          <w:rFonts w:ascii="黑体" w:hAnsi="黑体" w:eastAsia="黑体"/>
          <w:sz w:val="28"/>
          <w:szCs w:val="28"/>
        </w:rPr>
      </w:pPr>
      <w:r>
        <w:rPr>
          <w:rFonts w:hint="eastAsia" w:ascii="黑体" w:hAnsi="黑体" w:eastAsia="黑体"/>
          <w:sz w:val="28"/>
          <w:szCs w:val="28"/>
        </w:rPr>
        <w:t>5.3合规风控成效及其它</w:t>
      </w:r>
    </w:p>
    <w:p w14:paraId="056D9471">
      <w:pPr>
        <w:ind w:firstLine="560" w:firstLineChars="200"/>
        <w:rPr>
          <w:rFonts w:ascii="仿宋_GB2312" w:eastAsia="仿宋_GB2312"/>
          <w:b/>
          <w:sz w:val="28"/>
          <w:szCs w:val="28"/>
        </w:rPr>
      </w:pPr>
      <w:r>
        <w:rPr>
          <w:rFonts w:hint="eastAsia" w:ascii="仿宋_GB2312" w:eastAsia="仿宋_GB2312"/>
          <w:sz w:val="28"/>
          <w:szCs w:val="28"/>
        </w:rPr>
        <w:t>规避招投标风险、合同风险、审计风险、廉政风险的具体举措等以及其它成效。</w:t>
      </w:r>
    </w:p>
    <w:p w14:paraId="548B6818">
      <w:pPr>
        <w:ind w:firstLine="560" w:firstLineChars="200"/>
        <w:rPr>
          <w:rFonts w:ascii="黑体" w:hAnsi="黑体" w:eastAsia="黑体"/>
          <w:sz w:val="28"/>
          <w:szCs w:val="28"/>
        </w:rPr>
      </w:pPr>
      <w:r>
        <w:rPr>
          <w:rFonts w:hint="eastAsia" w:ascii="黑体" w:hAnsi="黑体" w:eastAsia="黑体"/>
          <w:sz w:val="28"/>
          <w:szCs w:val="28"/>
        </w:rPr>
        <w:t>第六章 启示与展望</w:t>
      </w:r>
    </w:p>
    <w:p w14:paraId="55FE1711">
      <w:pPr>
        <w:ind w:firstLine="560" w:firstLineChars="200"/>
        <w:rPr>
          <w:rFonts w:ascii="黑体" w:hAnsi="黑体" w:eastAsia="黑体"/>
          <w:sz w:val="28"/>
          <w:szCs w:val="28"/>
        </w:rPr>
      </w:pPr>
      <w:r>
        <w:rPr>
          <w:rFonts w:hint="eastAsia" w:ascii="黑体" w:hAnsi="黑体" w:eastAsia="黑体"/>
          <w:sz w:val="28"/>
          <w:szCs w:val="28"/>
        </w:rPr>
        <w:t>6.1 对项目成功关键的总结</w:t>
      </w:r>
    </w:p>
    <w:p w14:paraId="7D0ADC86">
      <w:pPr>
        <w:ind w:firstLine="560" w:firstLineChars="200"/>
        <w:rPr>
          <w:rFonts w:ascii="仿宋_GB2312" w:eastAsia="仿宋_GB2312"/>
          <w:sz w:val="28"/>
          <w:szCs w:val="28"/>
        </w:rPr>
      </w:pPr>
      <w:r>
        <w:rPr>
          <w:rFonts w:hint="eastAsia" w:ascii="仿宋_GB2312" w:eastAsia="仿宋_GB2312"/>
          <w:sz w:val="28"/>
          <w:szCs w:val="28"/>
        </w:rPr>
        <w:t>回顾本项目，成功的首要因素有哪些（例如：强大的统筹管理能力、优秀的项目总咨询师、高效的数字化平台支撑、创新的取费与激励机制），请展开说明。</w:t>
      </w:r>
    </w:p>
    <w:p w14:paraId="4405029D">
      <w:pPr>
        <w:ind w:firstLine="560" w:firstLineChars="200"/>
        <w:rPr>
          <w:rFonts w:ascii="黑体" w:hAnsi="黑体" w:eastAsia="黑体"/>
          <w:sz w:val="28"/>
          <w:szCs w:val="28"/>
        </w:rPr>
      </w:pPr>
      <w:r>
        <w:rPr>
          <w:rFonts w:hint="eastAsia" w:ascii="黑体" w:hAnsi="黑体" w:eastAsia="黑体"/>
          <w:sz w:val="28"/>
          <w:szCs w:val="28"/>
        </w:rPr>
        <w:t>6.2 对全咨企业发展的启示</w:t>
      </w:r>
    </w:p>
    <w:p w14:paraId="2A7489DA">
      <w:pPr>
        <w:ind w:firstLine="560" w:firstLineChars="200"/>
        <w:rPr>
          <w:rFonts w:ascii="仿宋_GB2312" w:eastAsia="仿宋_GB2312"/>
          <w:sz w:val="28"/>
          <w:szCs w:val="28"/>
        </w:rPr>
      </w:pPr>
      <w:r>
        <w:rPr>
          <w:rFonts w:hint="eastAsia" w:ascii="仿宋_GB2312" w:eastAsia="仿宋_GB2312"/>
          <w:sz w:val="28"/>
          <w:szCs w:val="28"/>
        </w:rPr>
        <w:t>可从以下几个方面展开阐述：</w:t>
      </w:r>
    </w:p>
    <w:p w14:paraId="2C0FD003">
      <w:pPr>
        <w:ind w:firstLine="560" w:firstLineChars="200"/>
        <w:rPr>
          <w:rFonts w:ascii="仿宋_GB2312" w:eastAsia="仿宋_GB2312"/>
          <w:sz w:val="28"/>
          <w:szCs w:val="28"/>
        </w:rPr>
      </w:pPr>
      <w:r>
        <w:rPr>
          <w:rFonts w:hint="eastAsia" w:ascii="仿宋_GB2312" w:eastAsia="仿宋_GB2312"/>
          <w:sz w:val="28"/>
          <w:szCs w:val="28"/>
        </w:rPr>
        <w:t>人才培养：如何系统性培养“复合型人才”，应对人才短缺挑战；</w:t>
      </w:r>
    </w:p>
    <w:p w14:paraId="0A0BCE12">
      <w:pPr>
        <w:ind w:firstLine="560" w:firstLineChars="200"/>
        <w:rPr>
          <w:rFonts w:ascii="仿宋_GB2312" w:eastAsia="仿宋_GB2312"/>
          <w:sz w:val="28"/>
          <w:szCs w:val="28"/>
        </w:rPr>
      </w:pPr>
      <w:r>
        <w:rPr>
          <w:rFonts w:hint="eastAsia" w:ascii="仿宋_GB2312" w:eastAsia="仿宋_GB2312"/>
          <w:sz w:val="28"/>
          <w:szCs w:val="28"/>
        </w:rPr>
        <w:t>技术应用：“数字化平台”为何应成为企业的核心基础设施；</w:t>
      </w:r>
    </w:p>
    <w:p w14:paraId="1EDE96CF">
      <w:pPr>
        <w:ind w:firstLine="560" w:firstLineChars="200"/>
        <w:rPr>
          <w:rFonts w:ascii="仿宋_GB2312" w:eastAsia="仿宋_GB2312"/>
          <w:sz w:val="28"/>
          <w:szCs w:val="28"/>
        </w:rPr>
      </w:pPr>
      <w:r>
        <w:rPr>
          <w:rFonts w:hint="eastAsia" w:ascii="仿宋_GB2312" w:eastAsia="仿宋_GB2312"/>
          <w:sz w:val="28"/>
          <w:szCs w:val="28"/>
        </w:rPr>
        <w:t>取费模式：本项目实践对探索“按价值取费”“统筹管理取费”有何启示；</w:t>
      </w:r>
    </w:p>
    <w:p w14:paraId="163D1DD9">
      <w:pPr>
        <w:ind w:firstLine="560" w:firstLineChars="200"/>
        <w:rPr>
          <w:rFonts w:ascii="仿宋_GB2312" w:eastAsia="仿宋_GB2312"/>
          <w:sz w:val="28"/>
          <w:szCs w:val="28"/>
        </w:rPr>
      </w:pPr>
      <w:r>
        <w:rPr>
          <w:rFonts w:hint="eastAsia" w:ascii="仿宋_GB2312" w:eastAsia="仿宋_GB2312"/>
          <w:sz w:val="28"/>
          <w:szCs w:val="28"/>
        </w:rPr>
        <w:t>知识管理：如何形成可传承的知识体系，打造核心竞争力。</w:t>
      </w:r>
    </w:p>
    <w:p w14:paraId="6FCAE31B">
      <w:pPr>
        <w:ind w:firstLine="560" w:firstLineChars="200"/>
        <w:rPr>
          <w:rFonts w:ascii="黑体" w:hAnsi="黑体" w:eastAsia="黑体"/>
          <w:sz w:val="28"/>
          <w:szCs w:val="28"/>
        </w:rPr>
      </w:pPr>
      <w:r>
        <w:rPr>
          <w:rFonts w:hint="eastAsia" w:ascii="黑体" w:hAnsi="黑体" w:eastAsia="黑体"/>
          <w:sz w:val="28"/>
          <w:szCs w:val="28"/>
        </w:rPr>
        <w:t>6.3 对行业与政策的展望</w:t>
      </w:r>
    </w:p>
    <w:p w14:paraId="7431079E">
      <w:pPr>
        <w:ind w:firstLine="560" w:firstLineChars="200"/>
        <w:rPr>
          <w:rFonts w:ascii="仿宋_GB2312" w:eastAsia="仿宋_GB2312"/>
          <w:sz w:val="28"/>
          <w:szCs w:val="28"/>
        </w:rPr>
      </w:pPr>
      <w:r>
        <w:rPr>
          <w:rFonts w:hint="eastAsia" w:ascii="仿宋_GB2312" w:eastAsia="仿宋_GB2312"/>
          <w:sz w:val="28"/>
          <w:szCs w:val="28"/>
        </w:rPr>
        <w:t>基于本项目实践，认为全咨行业未来应向何处发展？（可结合“十五五”规划中对健全标准规范体系、深化集成服务模式、培育综合型服务机构、强化数字化赋能等判断）；</w:t>
      </w:r>
    </w:p>
    <w:p w14:paraId="1BE93299">
      <w:pPr>
        <w:ind w:firstLine="560" w:firstLineChars="200"/>
        <w:rPr>
          <w:rFonts w:ascii="仿宋_GB2312" w:eastAsia="仿宋_GB2312"/>
          <w:sz w:val="28"/>
          <w:szCs w:val="28"/>
        </w:rPr>
      </w:pPr>
      <w:r>
        <w:rPr>
          <w:rFonts w:hint="eastAsia" w:ascii="仿宋_GB2312" w:eastAsia="仿宋_GB2312"/>
          <w:sz w:val="28"/>
          <w:szCs w:val="28"/>
        </w:rPr>
        <w:t>对行业协会、政策制定者有何具体建议？（例如：完善全咨标准规范包括取费指导政策、建立人才评价体系、服务质量评价体系、鼓励技术研发和标准编制等）。</w:t>
      </w:r>
    </w:p>
    <w:p w14:paraId="0FE8B057">
      <w:pPr>
        <w:spacing w:before="156" w:beforeLines="50" w:after="156" w:afterLines="50"/>
        <w:ind w:firstLine="720" w:firstLineChars="300"/>
        <w:rPr>
          <w:rFonts w:ascii="黑体" w:hAnsi="黑体" w:eastAsia="黑体"/>
          <w:sz w:val="24"/>
          <w:szCs w:val="24"/>
        </w:rPr>
      </w:pPr>
      <w:r>
        <w:rPr>
          <w:rFonts w:hint="eastAsia" w:ascii="黑体" w:hAnsi="黑体" w:eastAsia="黑体"/>
          <w:sz w:val="24"/>
          <w:szCs w:val="24"/>
        </w:rPr>
        <w:t>注：附件按需提供。</w:t>
      </w:r>
    </w:p>
    <w:p w14:paraId="7372D51D">
      <w:pPr>
        <w:ind w:firstLine="560" w:firstLineChars="200"/>
        <w:rPr>
          <w:rFonts w:ascii="黑体" w:hAnsi="黑体" w:eastAsia="黑体"/>
          <w:sz w:val="28"/>
          <w:szCs w:val="28"/>
        </w:rPr>
      </w:pPr>
      <w:r>
        <w:rPr>
          <w:rFonts w:hint="eastAsia" w:ascii="黑体" w:hAnsi="黑体" w:eastAsia="黑体"/>
          <w:sz w:val="28"/>
          <w:szCs w:val="28"/>
        </w:rPr>
        <w:t>三、典型案例编制要求</w:t>
      </w:r>
    </w:p>
    <w:p w14:paraId="3DDF2DEF">
      <w:pPr>
        <w:ind w:firstLine="560" w:firstLineChars="200"/>
        <w:rPr>
          <w:rFonts w:ascii="黑体" w:hAnsi="黑体" w:eastAsia="黑体"/>
          <w:sz w:val="28"/>
          <w:szCs w:val="28"/>
        </w:rPr>
      </w:pPr>
      <w:r>
        <w:rPr>
          <w:rFonts w:hint="eastAsia" w:ascii="黑体" w:hAnsi="黑体" w:eastAsia="黑体"/>
          <w:sz w:val="28"/>
          <w:szCs w:val="28"/>
        </w:rPr>
        <w:t>（一）案例编写条件</w:t>
      </w:r>
    </w:p>
    <w:p w14:paraId="464FFA03">
      <w:pPr>
        <w:ind w:firstLine="560" w:firstLineChars="200"/>
        <w:rPr>
          <w:rFonts w:ascii="仿宋_GB2312" w:eastAsia="仿宋_GB2312"/>
          <w:sz w:val="28"/>
          <w:szCs w:val="28"/>
        </w:rPr>
      </w:pPr>
      <w:r>
        <w:rPr>
          <w:rFonts w:hint="eastAsia" w:ascii="仿宋_GB2312" w:eastAsia="仿宋_GB2312"/>
          <w:sz w:val="28"/>
          <w:szCs w:val="28"/>
        </w:rPr>
        <w:t>1. 项目己完工或基本完工，手续齐全、竣工验收合规；</w:t>
      </w:r>
    </w:p>
    <w:p w14:paraId="0B627D7D">
      <w:pPr>
        <w:ind w:firstLine="560" w:firstLineChars="200"/>
        <w:rPr>
          <w:rFonts w:ascii="仿宋_GB2312" w:eastAsia="仿宋_GB2312"/>
          <w:sz w:val="28"/>
          <w:szCs w:val="28"/>
        </w:rPr>
      </w:pPr>
      <w:r>
        <w:rPr>
          <w:rFonts w:hint="eastAsia" w:ascii="仿宋_GB2312" w:eastAsia="仿宋_GB2312"/>
          <w:sz w:val="28"/>
          <w:szCs w:val="28"/>
        </w:rPr>
        <w:t>2. 全过程工程咨询服务主体资质合规，项目负责人、专业人员持证上岗；</w:t>
      </w:r>
    </w:p>
    <w:p w14:paraId="00395AAA">
      <w:pPr>
        <w:ind w:firstLine="560" w:firstLineChars="200"/>
        <w:rPr>
          <w:rFonts w:ascii="仿宋_GB2312" w:eastAsia="仿宋_GB2312"/>
          <w:sz w:val="28"/>
          <w:szCs w:val="28"/>
        </w:rPr>
      </w:pPr>
      <w:r>
        <w:rPr>
          <w:rFonts w:hint="eastAsia" w:ascii="仿宋_GB2312" w:eastAsia="仿宋_GB2312"/>
          <w:sz w:val="28"/>
          <w:szCs w:val="28"/>
        </w:rPr>
        <w:t>3. 项目建设期无较大及以上质量、安全、廉政责任事故，信用记录良好。</w:t>
      </w:r>
    </w:p>
    <w:p w14:paraId="2CB70314">
      <w:pPr>
        <w:ind w:firstLine="560" w:firstLineChars="200"/>
        <w:rPr>
          <w:rFonts w:ascii="黑体" w:hAnsi="黑体" w:eastAsia="黑体"/>
          <w:sz w:val="28"/>
          <w:szCs w:val="28"/>
        </w:rPr>
      </w:pPr>
      <w:r>
        <w:rPr>
          <w:rFonts w:hint="eastAsia" w:ascii="黑体" w:hAnsi="黑体" w:eastAsia="黑体"/>
          <w:sz w:val="28"/>
          <w:szCs w:val="28"/>
        </w:rPr>
        <w:t>（二）内容质量要求</w:t>
      </w:r>
    </w:p>
    <w:p w14:paraId="48EAF5B0">
      <w:pPr>
        <w:ind w:firstLine="560" w:firstLineChars="200"/>
        <w:rPr>
          <w:rFonts w:ascii="仿宋_GB2312" w:eastAsia="仿宋_GB2312"/>
          <w:sz w:val="28"/>
          <w:szCs w:val="28"/>
        </w:rPr>
      </w:pPr>
      <w:r>
        <w:rPr>
          <w:rFonts w:hint="eastAsia" w:ascii="仿宋_GB2312" w:eastAsia="仿宋_GB2312"/>
          <w:sz w:val="28"/>
          <w:szCs w:val="28"/>
        </w:rPr>
        <w:t>1. 杜绝只写工作内容、不写咨询成果与价值，内容模板化、空洞化表述，要求“举措+过程+数据+成效”闭环呈现；</w:t>
      </w:r>
    </w:p>
    <w:p w14:paraId="687BA904">
      <w:pPr>
        <w:ind w:firstLine="560" w:firstLineChars="200"/>
        <w:rPr>
          <w:rFonts w:ascii="仿宋_GB2312" w:eastAsia="仿宋_GB2312"/>
          <w:sz w:val="28"/>
          <w:szCs w:val="28"/>
        </w:rPr>
      </w:pPr>
      <w:r>
        <w:rPr>
          <w:rFonts w:hint="eastAsia" w:ascii="仿宋_GB2312" w:eastAsia="仿宋_GB2312"/>
          <w:sz w:val="28"/>
          <w:szCs w:val="28"/>
        </w:rPr>
        <w:t>2. 突出全过程工程咨询服务的“集成化、一体化、系统化”核心，严禁写成单一监理、单一造价、单一可研工作总结；</w:t>
      </w:r>
    </w:p>
    <w:p w14:paraId="4B1E00EA">
      <w:pPr>
        <w:ind w:firstLine="560" w:firstLineChars="200"/>
        <w:rPr>
          <w:rFonts w:ascii="仿宋_GB2312" w:eastAsia="仿宋_GB2312"/>
          <w:sz w:val="28"/>
          <w:szCs w:val="28"/>
        </w:rPr>
      </w:pPr>
      <w:r>
        <w:rPr>
          <w:rFonts w:hint="eastAsia" w:ascii="仿宋_GB2312" w:eastAsia="仿宋_GB2312"/>
          <w:sz w:val="28"/>
          <w:szCs w:val="28"/>
        </w:rPr>
        <w:t>3. 数据真实，投资核减、工期优化、问题整改等数据精准，不模糊表述；</w:t>
      </w:r>
    </w:p>
    <w:p w14:paraId="13006D13">
      <w:pPr>
        <w:ind w:firstLine="560" w:firstLineChars="200"/>
        <w:rPr>
          <w:rFonts w:ascii="仿宋_GB2312" w:eastAsia="仿宋_GB2312"/>
          <w:sz w:val="28"/>
          <w:szCs w:val="28"/>
        </w:rPr>
      </w:pPr>
      <w:r>
        <w:rPr>
          <w:rFonts w:hint="eastAsia" w:ascii="仿宋_GB2312" w:eastAsia="仿宋_GB2312"/>
          <w:sz w:val="28"/>
          <w:szCs w:val="28"/>
        </w:rPr>
        <w:t>4. 如涉及敏感信息请脱敏、脱密。</w:t>
      </w:r>
    </w:p>
    <w:p w14:paraId="0E7D30B4">
      <w:pPr>
        <w:ind w:firstLine="560" w:firstLineChars="200"/>
        <w:rPr>
          <w:rFonts w:ascii="黑体" w:hAnsi="黑体" w:eastAsia="黑体"/>
          <w:sz w:val="28"/>
          <w:szCs w:val="28"/>
        </w:rPr>
      </w:pPr>
      <w:r>
        <w:rPr>
          <w:rFonts w:hint="eastAsia" w:ascii="黑体" w:hAnsi="黑体" w:eastAsia="黑体"/>
          <w:sz w:val="28"/>
          <w:szCs w:val="28"/>
        </w:rPr>
        <w:t>（三）文字与格式要求</w:t>
      </w:r>
    </w:p>
    <w:p w14:paraId="2626BEC2">
      <w:pPr>
        <w:ind w:firstLine="560" w:firstLineChars="200"/>
        <w:rPr>
          <w:rFonts w:ascii="方正仿宋_GB2312" w:eastAsia="方正仿宋_GB2312"/>
          <w:sz w:val="28"/>
          <w:szCs w:val="28"/>
        </w:rPr>
      </w:pPr>
      <w:r>
        <w:rPr>
          <w:rFonts w:hint="eastAsia" w:ascii="仿宋_GB2312" w:eastAsia="仿宋_GB2312"/>
          <w:sz w:val="28"/>
          <w:szCs w:val="28"/>
        </w:rPr>
        <w:t>图文结合，语言严谨规范，逻辑清晰、层次分明，字数：3000-5000字。</w:t>
      </w:r>
    </w:p>
    <w:sectPr>
      <w:footerReference r:id="rId3" w:type="default"/>
      <w:pgSz w:w="11906" w:h="16838"/>
      <w:pgMar w:top="1440" w:right="1080" w:bottom="1440" w:left="108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099A561-D721-4ECE-B96A-0D8CDF37FF7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C272CF37-E618-45B6-87E1-688CE5FB9B60}"/>
  </w:font>
  <w:font w:name="方正小标宋_GBK">
    <w:panose1 w:val="02000000000000000000"/>
    <w:charset w:val="86"/>
    <w:family w:val="auto"/>
    <w:pitch w:val="default"/>
    <w:sig w:usb0="A00002BF" w:usb1="38CF7CFA" w:usb2="00082016" w:usb3="00000000" w:csb0="00040001"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embedRegular r:id="rId3" w:fontKey="{5F9B10D9-90FF-402C-B652-264BB82E476A}"/>
  </w:font>
  <w:font w:name="方正仿宋_GB2312">
    <w:panose1 w:val="02000000000000000000"/>
    <w:charset w:val="86"/>
    <w:family w:val="auto"/>
    <w:pitch w:val="default"/>
    <w:sig w:usb0="A00002BF" w:usb1="184F6CFA" w:usb2="00000012" w:usb3="00000000" w:csb0="00040001" w:csb1="00000000"/>
    <w:embedRegular r:id="rId4" w:fontKey="{8C230151-3D06-411A-BD06-1DF2C3FD12F3}"/>
  </w:font>
  <w:font w:name="兰米仿宋体">
    <w:panose1 w:val="02000503000000000000"/>
    <w:charset w:val="86"/>
    <w:family w:val="auto"/>
    <w:pitch w:val="default"/>
    <w:sig w:usb0="8000002F" w:usb1="084164F8"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78863814"/>
      <w:docPartObj>
        <w:docPartGallery w:val="autotext"/>
      </w:docPartObj>
    </w:sdtPr>
    <w:sdtContent>
      <w:p w14:paraId="717931ED">
        <w:pPr>
          <w:pStyle w:val="4"/>
          <w:jc w:val="center"/>
        </w:pPr>
        <w:r>
          <w:fldChar w:fldCharType="begin"/>
        </w:r>
        <w:r>
          <w:instrText xml:space="preserve">PAGE   \* MERGEFORMAT</w:instrText>
        </w:r>
        <w:r>
          <w:fldChar w:fldCharType="separate"/>
        </w:r>
        <w:r>
          <w:rPr>
            <w:lang w:val="zh-CN"/>
          </w:rPr>
          <w:t>-</w:t>
        </w:r>
        <w:r>
          <w:t xml:space="preserve"> 7 -</w:t>
        </w:r>
        <w:r>
          <w:fldChar w:fldCharType="end"/>
        </w:r>
      </w:p>
    </w:sdtContent>
  </w:sdt>
  <w:p w14:paraId="62E6C704">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2"/>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7DC"/>
    <w:rsid w:val="00103A7C"/>
    <w:rsid w:val="00147E80"/>
    <w:rsid w:val="003A0841"/>
    <w:rsid w:val="0040021A"/>
    <w:rsid w:val="00432A7C"/>
    <w:rsid w:val="0056137D"/>
    <w:rsid w:val="0059204D"/>
    <w:rsid w:val="005963AA"/>
    <w:rsid w:val="005B27D2"/>
    <w:rsid w:val="005B7D11"/>
    <w:rsid w:val="00636B0F"/>
    <w:rsid w:val="00677592"/>
    <w:rsid w:val="00696B85"/>
    <w:rsid w:val="007271E4"/>
    <w:rsid w:val="007368D9"/>
    <w:rsid w:val="00793014"/>
    <w:rsid w:val="008271D1"/>
    <w:rsid w:val="008E6BA6"/>
    <w:rsid w:val="00921B82"/>
    <w:rsid w:val="00963FCC"/>
    <w:rsid w:val="00A306BD"/>
    <w:rsid w:val="00A94EA2"/>
    <w:rsid w:val="00AD27DC"/>
    <w:rsid w:val="00B7331E"/>
    <w:rsid w:val="00C70514"/>
    <w:rsid w:val="00CC2550"/>
    <w:rsid w:val="00D477FA"/>
    <w:rsid w:val="00DE058C"/>
    <w:rsid w:val="00DE086E"/>
    <w:rsid w:val="00DE652F"/>
    <w:rsid w:val="00DF6CDE"/>
    <w:rsid w:val="00E83D21"/>
    <w:rsid w:val="00F1252D"/>
    <w:rsid w:val="00F36917"/>
    <w:rsid w:val="00F52D61"/>
    <w:rsid w:val="00F70B26"/>
    <w:rsid w:val="019341FD"/>
    <w:rsid w:val="0C7A0B1E"/>
    <w:rsid w:val="12551A60"/>
    <w:rsid w:val="2FFA261E"/>
    <w:rsid w:val="39F27619"/>
    <w:rsid w:val="46530842"/>
    <w:rsid w:val="577B0833"/>
    <w:rsid w:val="5E18053E"/>
    <w:rsid w:val="5FFC5343"/>
    <w:rsid w:val="60B32968"/>
    <w:rsid w:val="692C7F39"/>
    <w:rsid w:val="6EB04B4A"/>
    <w:rsid w:val="6F8E3F30"/>
    <w:rsid w:val="7303004B"/>
    <w:rsid w:val="79F37E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annotation reference"/>
    <w:basedOn w:val="7"/>
    <w:semiHidden/>
    <w:unhideWhenUsed/>
    <w:qFormat/>
    <w:uiPriority w:val="99"/>
    <w:rPr>
      <w:sz w:val="21"/>
      <w:szCs w:val="21"/>
    </w:r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批注框文本 字符"/>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2916</Words>
  <Characters>2985</Characters>
  <Lines>22</Lines>
  <Paragraphs>6</Paragraphs>
  <TotalTime>1028</TotalTime>
  <ScaleCrop>false</ScaleCrop>
  <LinksUpToDate>false</LinksUpToDate>
  <CharactersWithSpaces>3023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2026-08-04T07:04:00Z</dcterms:created>
  <dc:creator>郭洪梅</dc:creator>
  <cp:lastModifiedBy>杨巍</cp:lastModifiedBy>
  <cp:lastPrinted>2026-09-22T01:39:40Z</cp:lastPrinted>
  <dcterms:modified xsi:type="dcterms:W3CDTF">2026-09-22T06:08:24Z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eyJoZGlkIjoiMDE1YWViOTg3YTAzZTkyZjI0NjQyODYyZmRiMGZkMTEiLCJ1c2VySWQiOiIxMjEyMTE1MiJ9</vt:lpwstr>
  </property>
  <property fmtid="{D5CDD505-2E9C-101B-9397-08002B2CF9AE}" pid="3" name="KSOProductBuildVer">
    <vt:lpwstr>2052-12.1.0.28505</vt:lpwstr>
  </property>
  <property fmtid="{D5CDD505-2E9C-101B-9397-08002B2CF9AE}" pid="4" name="ICV">
    <vt:lpwstr>8A5A0821B33E4D6A97DC764F6D306841_13</vt:lpwstr>
  </property>
</Properties>
</file>